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62F1" w14:textId="2189D7A8" w:rsidR="000306DF" w:rsidRPr="000306DF" w:rsidRDefault="009A38F2" w:rsidP="0070794F">
      <w:pPr>
        <w:rPr>
          <w:b/>
          <w:bCs/>
          <w:i/>
          <w:iCs/>
          <w:sz w:val="28"/>
          <w:szCs w:val="28"/>
        </w:rPr>
      </w:pPr>
      <w:r>
        <w:rPr>
          <w:b/>
          <w:bCs/>
          <w:i/>
          <w:iCs/>
          <w:sz w:val="28"/>
          <w:szCs w:val="28"/>
        </w:rPr>
        <w:t>A Primer on Public Safety Pay in Norfolk</w:t>
      </w:r>
    </w:p>
    <w:p w14:paraId="7006A34A" w14:textId="77777777" w:rsidR="000306DF" w:rsidRDefault="000306DF" w:rsidP="0070794F"/>
    <w:p w14:paraId="727AE094" w14:textId="35E36781" w:rsidR="006D537D" w:rsidRDefault="0070794F" w:rsidP="0070794F">
      <w:r>
        <w:t>The Norfolk Police Department</w:t>
      </w:r>
      <w:r w:rsidR="005E5CCD">
        <w:t xml:space="preserve"> (NPD)</w:t>
      </w:r>
      <w:r>
        <w:t>, Norfolk Fire-Rescue</w:t>
      </w:r>
      <w:r w:rsidR="005E5CCD">
        <w:t xml:space="preserve"> (NFR)</w:t>
      </w:r>
      <w:r>
        <w:t>, and The Norfolk Sheriff’s Office</w:t>
      </w:r>
      <w:r w:rsidR="005E5CCD">
        <w:t xml:space="preserve"> (NSO)</w:t>
      </w:r>
      <w:r>
        <w:t xml:space="preserve"> are all part of a step-based </w:t>
      </w:r>
      <w:r w:rsidR="00AF3728">
        <w:t xml:space="preserve">joint </w:t>
      </w:r>
      <w:r>
        <w:t xml:space="preserve">public safety pay plan.  The plan has 11 grades (hierarchy) through which the different ranks in the organizations are distributed.  Each grade has between six and 12 steps (tenure) through which employees in each grade are distributed based on tenure (mostly) and other factors like speed of promotion.  </w:t>
      </w:r>
    </w:p>
    <w:p w14:paraId="67566DE0" w14:textId="77777777" w:rsidR="006D537D" w:rsidRDefault="006D537D" w:rsidP="0070794F"/>
    <w:p w14:paraId="42252EAD" w14:textId="4D1AF3D4" w:rsidR="0070794F" w:rsidRDefault="0070794F" w:rsidP="0070794F">
      <w:r>
        <w:t xml:space="preserve">Steps in these systems are single points rather than a range - every Police Officer in step 4 makes exactly $56,079.  About 65 percent of steps are 2.5 percent above the previous step </w:t>
      </w:r>
      <w:r w:rsidR="00627A84">
        <w:t xml:space="preserve">and </w:t>
      </w:r>
      <w:r>
        <w:t xml:space="preserve">about 35 percent </w:t>
      </w:r>
      <w:r w:rsidR="00627A84">
        <w:t xml:space="preserve">of steps are </w:t>
      </w:r>
      <w:r>
        <w:t>five percent above the previous step.</w:t>
      </w:r>
      <w:r w:rsidR="00AF3728">
        <w:t xml:space="preserve">  The Proposed FY 2023 Public Safety Pay Plan is detailed below along with a table that shows which</w:t>
      </w:r>
      <w:r w:rsidR="009256DC">
        <w:t xml:space="preserve"> Ranks/Job Titles are in </w:t>
      </w:r>
      <w:r w:rsidR="00844F23">
        <w:t>each</w:t>
      </w:r>
      <w:r w:rsidR="009256DC">
        <w:t xml:space="preserve"> grade</w:t>
      </w:r>
      <w:r w:rsidR="00AF3728">
        <w:t>:</w:t>
      </w:r>
    </w:p>
    <w:p w14:paraId="788F5081" w14:textId="168AD712" w:rsidR="009256DC" w:rsidRDefault="009256DC" w:rsidP="0070794F"/>
    <w:p w14:paraId="676978D8" w14:textId="78FAED1C" w:rsidR="009256DC" w:rsidRPr="006D537D" w:rsidRDefault="009256DC" w:rsidP="0070794F">
      <w:pPr>
        <w:rPr>
          <w:b/>
          <w:bCs/>
          <w:i/>
          <w:iCs/>
          <w:color w:val="70AD47" w:themeColor="accent6"/>
          <w:sz w:val="24"/>
          <w:szCs w:val="24"/>
        </w:rPr>
      </w:pPr>
      <w:r w:rsidRPr="006D537D">
        <w:rPr>
          <w:b/>
          <w:bCs/>
          <w:i/>
          <w:iCs/>
          <w:color w:val="70AD47" w:themeColor="accent6"/>
        </w:rPr>
        <w:t>Proposed FY 2023 Public Safety Pay Plan</w:t>
      </w:r>
    </w:p>
    <w:p w14:paraId="3D9E6DD3" w14:textId="01E815C4" w:rsidR="009256DC" w:rsidRDefault="009256DC" w:rsidP="0070794F">
      <w:r w:rsidRPr="007A48A9">
        <w:rPr>
          <w:noProof/>
        </w:rPr>
        <w:drawing>
          <wp:inline distT="0" distB="0" distL="0" distR="0" wp14:anchorId="3F97B913" wp14:editId="26DAA610">
            <wp:extent cx="5823275" cy="16287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2821" cy="1631445"/>
                    </a:xfrm>
                    <a:prstGeom prst="rect">
                      <a:avLst/>
                    </a:prstGeom>
                    <a:noFill/>
                    <a:ln>
                      <a:noFill/>
                    </a:ln>
                  </pic:spPr>
                </pic:pic>
              </a:graphicData>
            </a:graphic>
          </wp:inline>
        </w:drawing>
      </w:r>
    </w:p>
    <w:p w14:paraId="023502DC" w14:textId="77777777" w:rsidR="0070794F" w:rsidRDefault="0070794F" w:rsidP="0070794F"/>
    <w:p w14:paraId="7D1F980C" w14:textId="4018FA12" w:rsidR="006D537D" w:rsidRPr="006D537D" w:rsidRDefault="006D537D" w:rsidP="006D537D">
      <w:pPr>
        <w:rPr>
          <w:b/>
          <w:bCs/>
          <w:i/>
          <w:iCs/>
          <w:color w:val="70AD47" w:themeColor="accent6"/>
          <w:sz w:val="28"/>
          <w:szCs w:val="28"/>
        </w:rPr>
      </w:pPr>
      <w:r w:rsidRPr="006D537D">
        <w:rPr>
          <w:b/>
          <w:bCs/>
          <w:i/>
          <w:iCs/>
          <w:color w:val="70AD47" w:themeColor="accent6"/>
        </w:rPr>
        <w:t>Public Safety Pay Plan – Job Titles/Ranks by Grade</w:t>
      </w:r>
      <w:r>
        <w:rPr>
          <w:noProof/>
        </w:rPr>
        <w:drawing>
          <wp:inline distT="0" distB="0" distL="0" distR="0" wp14:anchorId="5164FBF4" wp14:editId="2A22A026">
            <wp:extent cx="5467350" cy="2247688"/>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5473894" cy="2250379"/>
                    </a:xfrm>
                    <a:prstGeom prst="rect">
                      <a:avLst/>
                    </a:prstGeom>
                  </pic:spPr>
                </pic:pic>
              </a:graphicData>
            </a:graphic>
          </wp:inline>
        </w:drawing>
      </w:r>
    </w:p>
    <w:p w14:paraId="46669FDE" w14:textId="77777777" w:rsidR="006D537D" w:rsidRDefault="006D537D" w:rsidP="0070794F"/>
    <w:p w14:paraId="7C30C243" w14:textId="310C3D82" w:rsidR="006D537D" w:rsidRPr="006824E4" w:rsidRDefault="006D537D" w:rsidP="0070794F">
      <w:pPr>
        <w:rPr>
          <w:b/>
          <w:bCs/>
          <w:sz w:val="24"/>
          <w:szCs w:val="24"/>
        </w:rPr>
      </w:pPr>
      <w:r w:rsidRPr="006824E4">
        <w:rPr>
          <w:b/>
          <w:bCs/>
          <w:sz w:val="24"/>
          <w:szCs w:val="24"/>
        </w:rPr>
        <w:t>Practical Impact of Compensation Actions</w:t>
      </w:r>
    </w:p>
    <w:p w14:paraId="3DA07A52" w14:textId="77777777" w:rsidR="006D537D" w:rsidRDefault="006D537D" w:rsidP="0070794F"/>
    <w:p w14:paraId="7B31D3C7" w14:textId="419660D8" w:rsidR="008E5A89" w:rsidRDefault="006D537D" w:rsidP="0070794F">
      <w:r>
        <w:t>T</w:t>
      </w:r>
      <w:r w:rsidR="0070794F">
        <w:t xml:space="preserve">wo primary compensation actions </w:t>
      </w:r>
      <w:r w:rsidR="008E5A89">
        <w:t>are available to</w:t>
      </w:r>
      <w:r w:rsidR="0070794F">
        <w:t xml:space="preserve"> employees in a step system</w:t>
      </w:r>
      <w:r w:rsidR="00890DC7">
        <w:t>:</w:t>
      </w:r>
    </w:p>
    <w:p w14:paraId="1D3AC3C9" w14:textId="4B0EE808" w:rsidR="00890DC7" w:rsidRDefault="00890DC7" w:rsidP="00890DC7">
      <w:pPr>
        <w:pStyle w:val="ListParagraph"/>
        <w:numPr>
          <w:ilvl w:val="0"/>
          <w:numId w:val="2"/>
        </w:numPr>
      </w:pPr>
      <w:r w:rsidRPr="00AF3728">
        <w:rPr>
          <w:b/>
          <w:bCs/>
        </w:rPr>
        <w:t>A General Wage Increase (GWI):</w:t>
      </w:r>
      <w:r>
        <w:t xml:space="preserve">  Ranges </w:t>
      </w:r>
      <w:r w:rsidR="00627A84">
        <w:t xml:space="preserve">and value of a step </w:t>
      </w:r>
      <w:r>
        <w:t>increase</w:t>
      </w:r>
      <w:r w:rsidR="00AF3728">
        <w:t>, employees stay in the same step.</w:t>
      </w:r>
    </w:p>
    <w:p w14:paraId="1644C03B" w14:textId="75E46F34" w:rsidR="00AF3728" w:rsidRDefault="00AF3728" w:rsidP="00890DC7">
      <w:pPr>
        <w:pStyle w:val="ListParagraph"/>
        <w:numPr>
          <w:ilvl w:val="0"/>
          <w:numId w:val="2"/>
        </w:numPr>
      </w:pPr>
      <w:r w:rsidRPr="00AF3728">
        <w:rPr>
          <w:b/>
          <w:bCs/>
        </w:rPr>
        <w:t>Step Increase:</w:t>
      </w:r>
      <w:r>
        <w:t xml:space="preserve"> Employees move to the next step in the range.  </w:t>
      </w:r>
    </w:p>
    <w:p w14:paraId="143276C9" w14:textId="53832AE0" w:rsidR="006D537D" w:rsidRDefault="006D537D" w:rsidP="0070794F"/>
    <w:p w14:paraId="6FFE8421" w14:textId="4C638390" w:rsidR="0070794F" w:rsidRDefault="005E5CCD" w:rsidP="0070794F">
      <w:r>
        <w:lastRenderedPageBreak/>
        <w:t xml:space="preserve">Typically, when a GWI is provided to employees in a step system it must be provided to all employees in the pay plan.  </w:t>
      </w:r>
      <w:r w:rsidR="0070794F">
        <w:t xml:space="preserve">If we were to implement an additional GWI </w:t>
      </w:r>
      <w:r>
        <w:t>for NPD alone</w:t>
      </w:r>
      <w:r w:rsidR="0070794F">
        <w:t xml:space="preserve"> and not for NFR or NSO we would in essence break the pay plan.  We would not have a step in which we could place the officers and we can’t move the pay plan ranges because that would</w:t>
      </w:r>
      <w:r>
        <w:t xml:space="preserve"> also mean pay increases for NFR and NSO</w:t>
      </w:r>
      <w:r w:rsidR="0070794F">
        <w:t>.</w:t>
      </w:r>
    </w:p>
    <w:p w14:paraId="121FDF86" w14:textId="77777777" w:rsidR="0070794F" w:rsidRDefault="0070794F" w:rsidP="0070794F"/>
    <w:p w14:paraId="6BCEE321" w14:textId="3AD40AAD" w:rsidR="0070794F" w:rsidRDefault="00840F5D" w:rsidP="0070794F">
      <w:r>
        <w:t>Compensation Strategies that work within the Joint Public Safety Pay Plan include:</w:t>
      </w:r>
    </w:p>
    <w:p w14:paraId="7AEC65D1" w14:textId="77777777" w:rsidR="0070794F" w:rsidRDefault="0070794F" w:rsidP="0070794F"/>
    <w:p w14:paraId="6D13F4BB" w14:textId="77777777" w:rsidR="00840F5D" w:rsidRDefault="00840F5D" w:rsidP="00840F5D">
      <w:pPr>
        <w:pStyle w:val="ListParagraph"/>
        <w:numPr>
          <w:ilvl w:val="0"/>
          <w:numId w:val="2"/>
        </w:numPr>
        <w:rPr>
          <w:rFonts w:eastAsia="Times New Roman"/>
        </w:rPr>
      </w:pPr>
      <w:r>
        <w:rPr>
          <w:rFonts w:eastAsia="Times New Roman"/>
        </w:rPr>
        <w:t>Provide a</w:t>
      </w:r>
      <w:r w:rsidRPr="00840F5D">
        <w:rPr>
          <w:rFonts w:eastAsia="Times New Roman"/>
        </w:rPr>
        <w:t xml:space="preserve"> GWI for all grades</w:t>
      </w:r>
      <w:r>
        <w:rPr>
          <w:rFonts w:eastAsia="Times New Roman"/>
        </w:rPr>
        <w:t xml:space="preserve"> or select</w:t>
      </w:r>
      <w:r w:rsidRPr="00840F5D">
        <w:rPr>
          <w:rFonts w:eastAsia="Times New Roman"/>
        </w:rPr>
        <w:t xml:space="preserve"> grades</w:t>
      </w:r>
    </w:p>
    <w:p w14:paraId="781AAF3E" w14:textId="55AE40C0" w:rsidR="00840F5D" w:rsidRDefault="00840F5D" w:rsidP="00840F5D">
      <w:pPr>
        <w:pStyle w:val="ListParagraph"/>
        <w:numPr>
          <w:ilvl w:val="0"/>
          <w:numId w:val="2"/>
        </w:numPr>
        <w:rPr>
          <w:rFonts w:eastAsia="Times New Roman"/>
        </w:rPr>
      </w:pPr>
      <w:r w:rsidRPr="00840F5D">
        <w:rPr>
          <w:rFonts w:eastAsia="Times New Roman"/>
        </w:rPr>
        <w:t xml:space="preserve">Provide a step increase </w:t>
      </w:r>
      <w:r w:rsidR="0070794F" w:rsidRPr="00840F5D">
        <w:rPr>
          <w:rFonts w:eastAsia="Times New Roman"/>
        </w:rPr>
        <w:t xml:space="preserve">for all </w:t>
      </w:r>
      <w:r w:rsidR="00844F23">
        <w:rPr>
          <w:rFonts w:eastAsia="Times New Roman"/>
        </w:rPr>
        <w:t xml:space="preserve">sworn </w:t>
      </w:r>
      <w:r w:rsidR="0070794F" w:rsidRPr="00840F5D">
        <w:rPr>
          <w:rFonts w:eastAsia="Times New Roman"/>
        </w:rPr>
        <w:t>public safety</w:t>
      </w:r>
      <w:r w:rsidR="00844F23">
        <w:rPr>
          <w:rFonts w:eastAsia="Times New Roman"/>
        </w:rPr>
        <w:t xml:space="preserve"> employees</w:t>
      </w:r>
      <w:r w:rsidR="0070794F" w:rsidRPr="00840F5D">
        <w:rPr>
          <w:rFonts w:eastAsia="Times New Roman"/>
        </w:rPr>
        <w:t xml:space="preserve">.  </w:t>
      </w:r>
    </w:p>
    <w:p w14:paraId="41416BCA" w14:textId="2C066298" w:rsidR="00840F5D" w:rsidRDefault="0070794F" w:rsidP="00840F5D">
      <w:pPr>
        <w:pStyle w:val="ListParagraph"/>
        <w:numPr>
          <w:ilvl w:val="0"/>
          <w:numId w:val="2"/>
        </w:numPr>
        <w:rPr>
          <w:rFonts w:eastAsia="Times New Roman"/>
        </w:rPr>
      </w:pPr>
      <w:r w:rsidRPr="00840F5D">
        <w:rPr>
          <w:rFonts w:eastAsia="Times New Roman"/>
        </w:rPr>
        <w:t xml:space="preserve">Provide a step increase for a specific group of </w:t>
      </w:r>
      <w:r w:rsidR="00844F23">
        <w:rPr>
          <w:rFonts w:eastAsia="Times New Roman"/>
        </w:rPr>
        <w:t xml:space="preserve">sworn </w:t>
      </w:r>
      <w:r w:rsidRPr="00840F5D">
        <w:rPr>
          <w:rFonts w:eastAsia="Times New Roman"/>
        </w:rPr>
        <w:t>public safety employees</w:t>
      </w:r>
    </w:p>
    <w:p w14:paraId="4AF42C02" w14:textId="77777777" w:rsidR="00840F5D" w:rsidRDefault="0070794F" w:rsidP="00840F5D">
      <w:pPr>
        <w:pStyle w:val="ListParagraph"/>
        <w:numPr>
          <w:ilvl w:val="0"/>
          <w:numId w:val="2"/>
        </w:numPr>
        <w:rPr>
          <w:rFonts w:eastAsia="Times New Roman"/>
        </w:rPr>
      </w:pPr>
      <w:r w:rsidRPr="00840F5D">
        <w:rPr>
          <w:rFonts w:eastAsia="Times New Roman"/>
        </w:rPr>
        <w:t>Implement some type of special pay incentive outside of the pay plan like a stipend to incent targeted groups.</w:t>
      </w:r>
    </w:p>
    <w:p w14:paraId="3F1975A3" w14:textId="77777777" w:rsidR="00840F5D" w:rsidRDefault="00840F5D" w:rsidP="00840F5D">
      <w:pPr>
        <w:rPr>
          <w:rFonts w:eastAsia="Times New Roman"/>
        </w:rPr>
      </w:pPr>
    </w:p>
    <w:p w14:paraId="235B019E" w14:textId="68FD26F5" w:rsidR="00844F23" w:rsidRPr="000306DF" w:rsidRDefault="00844F23" w:rsidP="00840F5D">
      <w:pPr>
        <w:rPr>
          <w:rFonts w:eastAsia="Times New Roman"/>
          <w:b/>
          <w:bCs/>
          <w:sz w:val="28"/>
          <w:szCs w:val="28"/>
        </w:rPr>
      </w:pPr>
      <w:r w:rsidRPr="000306DF">
        <w:rPr>
          <w:rFonts w:eastAsia="Times New Roman"/>
          <w:b/>
          <w:bCs/>
          <w:sz w:val="24"/>
          <w:szCs w:val="24"/>
        </w:rPr>
        <w:t>Historical Pay Actions</w:t>
      </w:r>
    </w:p>
    <w:p w14:paraId="52CC7A0B" w14:textId="0972C733" w:rsidR="00910680" w:rsidRPr="000306DF" w:rsidRDefault="00910680" w:rsidP="00840F5D">
      <w:pPr>
        <w:rPr>
          <w:rFonts w:eastAsia="Times New Roman"/>
          <w:sz w:val="24"/>
          <w:szCs w:val="24"/>
        </w:rPr>
      </w:pPr>
    </w:p>
    <w:p w14:paraId="137EF661" w14:textId="2E16442C" w:rsidR="00844F23" w:rsidRPr="00BF13BB" w:rsidRDefault="002D5F65" w:rsidP="00840F5D">
      <w:pPr>
        <w:rPr>
          <w:rFonts w:eastAsia="Times New Roman"/>
        </w:rPr>
      </w:pPr>
      <w:r w:rsidRPr="00BF13BB">
        <w:rPr>
          <w:rFonts w:eastAsia="Times New Roman"/>
        </w:rPr>
        <w:t>The table below displays the historical</w:t>
      </w:r>
      <w:r w:rsidR="008A16D2" w:rsidRPr="00BF13BB">
        <w:rPr>
          <w:rFonts w:eastAsia="Times New Roman"/>
        </w:rPr>
        <w:t xml:space="preserve"> pay actions the NPD has received. </w:t>
      </w:r>
      <w:r w:rsidR="00F72904" w:rsidRPr="00BF13BB">
        <w:rPr>
          <w:rFonts w:eastAsia="Times New Roman"/>
        </w:rPr>
        <w:t xml:space="preserve">In the past 28 years, there were four instances in which no step or GWI was provided. From FY 2010 to FY 2012 no increase was provided due to the city recovering from the Great Recession and FY 2021 was due to the pandemic. Including the proposed increase in FY 2023, the NPD has received a step or GWI in 25 out of the past 29 years. </w:t>
      </w:r>
    </w:p>
    <w:p w14:paraId="18FD4D9A" w14:textId="4896B9D4" w:rsidR="008A16D2" w:rsidRDefault="008A16D2" w:rsidP="00840F5D">
      <w:pPr>
        <w:rPr>
          <w:rFonts w:eastAsia="Times New Roman"/>
          <w:color w:val="FF0000"/>
          <w:sz w:val="24"/>
          <w:szCs w:val="24"/>
        </w:rPr>
      </w:pPr>
    </w:p>
    <w:tbl>
      <w:tblPr>
        <w:tblStyle w:val="TableGrid"/>
        <w:tblW w:w="0" w:type="auto"/>
        <w:tblLook w:val="04A0" w:firstRow="1" w:lastRow="0" w:firstColumn="1" w:lastColumn="0" w:noHBand="0" w:noVBand="1"/>
      </w:tblPr>
      <w:tblGrid>
        <w:gridCol w:w="678"/>
        <w:gridCol w:w="698"/>
        <w:gridCol w:w="699"/>
        <w:gridCol w:w="699"/>
        <w:gridCol w:w="712"/>
        <w:gridCol w:w="712"/>
        <w:gridCol w:w="679"/>
        <w:gridCol w:w="679"/>
        <w:gridCol w:w="679"/>
        <w:gridCol w:w="679"/>
        <w:gridCol w:w="581"/>
        <w:gridCol w:w="581"/>
        <w:gridCol w:w="623"/>
        <w:gridCol w:w="651"/>
      </w:tblGrid>
      <w:tr w:rsidR="00F72904" w14:paraId="26C0210C" w14:textId="6769B0A0" w:rsidTr="00F72904">
        <w:tc>
          <w:tcPr>
            <w:tcW w:w="678" w:type="dxa"/>
            <w:shd w:val="clear" w:color="auto" w:fill="DEEAF6" w:themeFill="accent5" w:themeFillTint="33"/>
          </w:tcPr>
          <w:p w14:paraId="3CF6BB26" w14:textId="7C43B6F9" w:rsidR="008A16D2" w:rsidRPr="00F72904" w:rsidRDefault="008A16D2" w:rsidP="00F72904">
            <w:pPr>
              <w:jc w:val="center"/>
              <w:rPr>
                <w:rFonts w:eastAsia="Times New Roman"/>
                <w:b/>
                <w:bCs/>
                <w:sz w:val="18"/>
                <w:szCs w:val="18"/>
              </w:rPr>
            </w:pPr>
            <w:r w:rsidRPr="00F72904">
              <w:rPr>
                <w:rFonts w:eastAsia="Times New Roman"/>
                <w:b/>
                <w:bCs/>
                <w:sz w:val="18"/>
                <w:szCs w:val="18"/>
              </w:rPr>
              <w:t>FY 1995</w:t>
            </w:r>
          </w:p>
        </w:tc>
        <w:tc>
          <w:tcPr>
            <w:tcW w:w="698" w:type="dxa"/>
            <w:shd w:val="clear" w:color="auto" w:fill="DEEAF6" w:themeFill="accent5" w:themeFillTint="33"/>
          </w:tcPr>
          <w:p w14:paraId="6076721A" w14:textId="63827E5F" w:rsidR="008A16D2" w:rsidRPr="00F72904" w:rsidRDefault="008A16D2" w:rsidP="00F72904">
            <w:pPr>
              <w:jc w:val="center"/>
              <w:rPr>
                <w:rFonts w:eastAsia="Times New Roman"/>
                <w:b/>
                <w:bCs/>
                <w:sz w:val="18"/>
                <w:szCs w:val="18"/>
              </w:rPr>
            </w:pPr>
            <w:r w:rsidRPr="00F72904">
              <w:rPr>
                <w:rFonts w:eastAsia="Times New Roman"/>
                <w:b/>
                <w:bCs/>
                <w:sz w:val="18"/>
                <w:szCs w:val="18"/>
              </w:rPr>
              <w:t>FY 1996</w:t>
            </w:r>
          </w:p>
        </w:tc>
        <w:tc>
          <w:tcPr>
            <w:tcW w:w="699" w:type="dxa"/>
            <w:shd w:val="clear" w:color="auto" w:fill="DEEAF6" w:themeFill="accent5" w:themeFillTint="33"/>
          </w:tcPr>
          <w:p w14:paraId="3B042C5B" w14:textId="4DD5C1A0" w:rsidR="008A16D2" w:rsidRPr="00F72904" w:rsidRDefault="008A16D2" w:rsidP="00F72904">
            <w:pPr>
              <w:jc w:val="center"/>
              <w:rPr>
                <w:rFonts w:eastAsia="Times New Roman"/>
                <w:b/>
                <w:bCs/>
                <w:sz w:val="18"/>
                <w:szCs w:val="18"/>
              </w:rPr>
            </w:pPr>
            <w:r w:rsidRPr="00F72904">
              <w:rPr>
                <w:rFonts w:eastAsia="Times New Roman"/>
                <w:b/>
                <w:bCs/>
                <w:sz w:val="18"/>
                <w:szCs w:val="18"/>
              </w:rPr>
              <w:t>FY 1997</w:t>
            </w:r>
          </w:p>
        </w:tc>
        <w:tc>
          <w:tcPr>
            <w:tcW w:w="699" w:type="dxa"/>
            <w:shd w:val="clear" w:color="auto" w:fill="DEEAF6" w:themeFill="accent5" w:themeFillTint="33"/>
          </w:tcPr>
          <w:p w14:paraId="2A2681E4" w14:textId="59A7B9E1" w:rsidR="008A16D2" w:rsidRPr="00F72904" w:rsidRDefault="008A16D2" w:rsidP="00F72904">
            <w:pPr>
              <w:jc w:val="center"/>
              <w:rPr>
                <w:rFonts w:eastAsia="Times New Roman"/>
                <w:b/>
                <w:bCs/>
                <w:sz w:val="18"/>
                <w:szCs w:val="18"/>
              </w:rPr>
            </w:pPr>
            <w:r w:rsidRPr="00F72904">
              <w:rPr>
                <w:rFonts w:eastAsia="Times New Roman"/>
                <w:b/>
                <w:bCs/>
                <w:sz w:val="18"/>
                <w:szCs w:val="18"/>
              </w:rPr>
              <w:t>FY 1998</w:t>
            </w:r>
          </w:p>
        </w:tc>
        <w:tc>
          <w:tcPr>
            <w:tcW w:w="712" w:type="dxa"/>
            <w:shd w:val="clear" w:color="auto" w:fill="DEEAF6" w:themeFill="accent5" w:themeFillTint="33"/>
          </w:tcPr>
          <w:p w14:paraId="2251D1B6" w14:textId="763AB7D1" w:rsidR="008A16D2" w:rsidRPr="00F72904" w:rsidRDefault="008A16D2" w:rsidP="00F72904">
            <w:pPr>
              <w:jc w:val="center"/>
              <w:rPr>
                <w:rFonts w:eastAsia="Times New Roman"/>
                <w:b/>
                <w:bCs/>
                <w:sz w:val="18"/>
                <w:szCs w:val="18"/>
              </w:rPr>
            </w:pPr>
            <w:r w:rsidRPr="00F72904">
              <w:rPr>
                <w:rFonts w:eastAsia="Times New Roman"/>
                <w:b/>
                <w:bCs/>
                <w:sz w:val="18"/>
                <w:szCs w:val="18"/>
              </w:rPr>
              <w:t>FY 1999</w:t>
            </w:r>
          </w:p>
        </w:tc>
        <w:tc>
          <w:tcPr>
            <w:tcW w:w="712" w:type="dxa"/>
            <w:shd w:val="clear" w:color="auto" w:fill="DEEAF6" w:themeFill="accent5" w:themeFillTint="33"/>
          </w:tcPr>
          <w:p w14:paraId="37E6EA57" w14:textId="719D91CB" w:rsidR="008A16D2" w:rsidRPr="00F72904" w:rsidRDefault="008A16D2" w:rsidP="00F72904">
            <w:pPr>
              <w:jc w:val="center"/>
              <w:rPr>
                <w:rFonts w:eastAsia="Times New Roman"/>
                <w:b/>
                <w:bCs/>
                <w:sz w:val="18"/>
                <w:szCs w:val="18"/>
              </w:rPr>
            </w:pPr>
            <w:r w:rsidRPr="00F72904">
              <w:rPr>
                <w:rFonts w:eastAsia="Times New Roman"/>
                <w:b/>
                <w:bCs/>
                <w:sz w:val="18"/>
                <w:szCs w:val="18"/>
              </w:rPr>
              <w:t>FY 2000</w:t>
            </w:r>
          </w:p>
        </w:tc>
        <w:tc>
          <w:tcPr>
            <w:tcW w:w="679" w:type="dxa"/>
            <w:shd w:val="clear" w:color="auto" w:fill="DEEAF6" w:themeFill="accent5" w:themeFillTint="33"/>
          </w:tcPr>
          <w:p w14:paraId="30B8E06D" w14:textId="51E1808F" w:rsidR="008A16D2" w:rsidRPr="00F72904" w:rsidRDefault="008A16D2" w:rsidP="00F72904">
            <w:pPr>
              <w:jc w:val="center"/>
              <w:rPr>
                <w:rFonts w:eastAsia="Times New Roman"/>
                <w:b/>
                <w:bCs/>
                <w:sz w:val="18"/>
                <w:szCs w:val="18"/>
              </w:rPr>
            </w:pPr>
            <w:r w:rsidRPr="00F72904">
              <w:rPr>
                <w:rFonts w:eastAsia="Times New Roman"/>
                <w:b/>
                <w:bCs/>
                <w:sz w:val="18"/>
                <w:szCs w:val="18"/>
              </w:rPr>
              <w:t>FY 2001</w:t>
            </w:r>
          </w:p>
        </w:tc>
        <w:tc>
          <w:tcPr>
            <w:tcW w:w="679" w:type="dxa"/>
            <w:shd w:val="clear" w:color="auto" w:fill="DEEAF6" w:themeFill="accent5" w:themeFillTint="33"/>
          </w:tcPr>
          <w:p w14:paraId="3F8680C0" w14:textId="2253E01C" w:rsidR="008A16D2" w:rsidRPr="00F72904" w:rsidRDefault="008A16D2" w:rsidP="00F72904">
            <w:pPr>
              <w:jc w:val="center"/>
              <w:rPr>
                <w:rFonts w:eastAsia="Times New Roman"/>
                <w:b/>
                <w:bCs/>
                <w:sz w:val="18"/>
                <w:szCs w:val="18"/>
              </w:rPr>
            </w:pPr>
            <w:r w:rsidRPr="00F72904">
              <w:rPr>
                <w:rFonts w:eastAsia="Times New Roman"/>
                <w:b/>
                <w:bCs/>
                <w:sz w:val="18"/>
                <w:szCs w:val="18"/>
              </w:rPr>
              <w:t>FY 2002</w:t>
            </w:r>
          </w:p>
        </w:tc>
        <w:tc>
          <w:tcPr>
            <w:tcW w:w="679" w:type="dxa"/>
            <w:shd w:val="clear" w:color="auto" w:fill="DEEAF6" w:themeFill="accent5" w:themeFillTint="33"/>
          </w:tcPr>
          <w:p w14:paraId="260626B6" w14:textId="6AD9FCBC" w:rsidR="008A16D2" w:rsidRPr="00F72904" w:rsidRDefault="008A16D2" w:rsidP="00F72904">
            <w:pPr>
              <w:jc w:val="center"/>
              <w:rPr>
                <w:rFonts w:eastAsia="Times New Roman"/>
                <w:b/>
                <w:bCs/>
                <w:sz w:val="18"/>
                <w:szCs w:val="18"/>
              </w:rPr>
            </w:pPr>
            <w:r w:rsidRPr="00F72904">
              <w:rPr>
                <w:rFonts w:eastAsia="Times New Roman"/>
                <w:b/>
                <w:bCs/>
                <w:sz w:val="18"/>
                <w:szCs w:val="18"/>
              </w:rPr>
              <w:t>FY 2003</w:t>
            </w:r>
          </w:p>
        </w:tc>
        <w:tc>
          <w:tcPr>
            <w:tcW w:w="679" w:type="dxa"/>
            <w:shd w:val="clear" w:color="auto" w:fill="DEEAF6" w:themeFill="accent5" w:themeFillTint="33"/>
          </w:tcPr>
          <w:p w14:paraId="5507C93E" w14:textId="0F16CCE1" w:rsidR="008A16D2" w:rsidRPr="00F72904" w:rsidRDefault="008A16D2" w:rsidP="00F72904">
            <w:pPr>
              <w:jc w:val="center"/>
              <w:rPr>
                <w:rFonts w:eastAsia="Times New Roman"/>
                <w:b/>
                <w:bCs/>
                <w:sz w:val="18"/>
                <w:szCs w:val="18"/>
              </w:rPr>
            </w:pPr>
            <w:r w:rsidRPr="00F72904">
              <w:rPr>
                <w:rFonts w:eastAsia="Times New Roman"/>
                <w:b/>
                <w:bCs/>
                <w:sz w:val="18"/>
                <w:szCs w:val="18"/>
              </w:rPr>
              <w:t>FY 2004</w:t>
            </w:r>
          </w:p>
        </w:tc>
        <w:tc>
          <w:tcPr>
            <w:tcW w:w="581" w:type="dxa"/>
            <w:shd w:val="clear" w:color="auto" w:fill="DEEAF6" w:themeFill="accent5" w:themeFillTint="33"/>
          </w:tcPr>
          <w:p w14:paraId="5BFD4312" w14:textId="7A763B7E" w:rsidR="008A16D2" w:rsidRPr="00F72904" w:rsidRDefault="008A16D2" w:rsidP="00F72904">
            <w:pPr>
              <w:jc w:val="center"/>
              <w:rPr>
                <w:rFonts w:eastAsia="Times New Roman"/>
                <w:b/>
                <w:bCs/>
                <w:sz w:val="18"/>
                <w:szCs w:val="18"/>
              </w:rPr>
            </w:pPr>
            <w:r w:rsidRPr="00F72904">
              <w:rPr>
                <w:rFonts w:eastAsia="Times New Roman"/>
                <w:b/>
                <w:bCs/>
                <w:sz w:val="18"/>
                <w:szCs w:val="18"/>
              </w:rPr>
              <w:t>FY 2005</w:t>
            </w:r>
          </w:p>
        </w:tc>
        <w:tc>
          <w:tcPr>
            <w:tcW w:w="581" w:type="dxa"/>
            <w:shd w:val="clear" w:color="auto" w:fill="DEEAF6" w:themeFill="accent5" w:themeFillTint="33"/>
          </w:tcPr>
          <w:p w14:paraId="2DC30FF4" w14:textId="6D7D4D63" w:rsidR="008A16D2" w:rsidRPr="00F72904" w:rsidRDefault="008A16D2" w:rsidP="00F72904">
            <w:pPr>
              <w:jc w:val="center"/>
              <w:rPr>
                <w:rFonts w:eastAsia="Times New Roman"/>
                <w:b/>
                <w:bCs/>
                <w:sz w:val="18"/>
                <w:szCs w:val="18"/>
              </w:rPr>
            </w:pPr>
            <w:r w:rsidRPr="00F72904">
              <w:rPr>
                <w:rFonts w:eastAsia="Times New Roman"/>
                <w:b/>
                <w:bCs/>
                <w:sz w:val="18"/>
                <w:szCs w:val="18"/>
              </w:rPr>
              <w:t>FY 2006</w:t>
            </w:r>
          </w:p>
        </w:tc>
        <w:tc>
          <w:tcPr>
            <w:tcW w:w="623" w:type="dxa"/>
            <w:shd w:val="clear" w:color="auto" w:fill="DEEAF6" w:themeFill="accent5" w:themeFillTint="33"/>
          </w:tcPr>
          <w:p w14:paraId="3820B1B7" w14:textId="1FF1E429" w:rsidR="008A16D2" w:rsidRPr="00F72904" w:rsidRDefault="008A16D2" w:rsidP="00F72904">
            <w:pPr>
              <w:jc w:val="center"/>
              <w:rPr>
                <w:rFonts w:eastAsia="Times New Roman"/>
                <w:b/>
                <w:bCs/>
                <w:sz w:val="18"/>
                <w:szCs w:val="18"/>
              </w:rPr>
            </w:pPr>
            <w:r w:rsidRPr="00F72904">
              <w:rPr>
                <w:rFonts w:eastAsia="Times New Roman"/>
                <w:b/>
                <w:bCs/>
                <w:sz w:val="18"/>
                <w:szCs w:val="18"/>
              </w:rPr>
              <w:t>FY 2007</w:t>
            </w:r>
          </w:p>
        </w:tc>
        <w:tc>
          <w:tcPr>
            <w:tcW w:w="651" w:type="dxa"/>
            <w:shd w:val="clear" w:color="auto" w:fill="DEEAF6" w:themeFill="accent5" w:themeFillTint="33"/>
          </w:tcPr>
          <w:p w14:paraId="5CA9C9CF" w14:textId="54088552" w:rsidR="008A16D2" w:rsidRPr="00F72904" w:rsidRDefault="008A16D2" w:rsidP="00F72904">
            <w:pPr>
              <w:jc w:val="center"/>
              <w:rPr>
                <w:rFonts w:eastAsia="Times New Roman"/>
                <w:b/>
                <w:bCs/>
                <w:sz w:val="18"/>
                <w:szCs w:val="18"/>
              </w:rPr>
            </w:pPr>
            <w:r w:rsidRPr="00F72904">
              <w:rPr>
                <w:rFonts w:eastAsia="Times New Roman"/>
                <w:b/>
                <w:bCs/>
                <w:sz w:val="18"/>
                <w:szCs w:val="18"/>
              </w:rPr>
              <w:t>FY 2008</w:t>
            </w:r>
          </w:p>
        </w:tc>
      </w:tr>
      <w:tr w:rsidR="008A16D2" w14:paraId="31648F93" w14:textId="78AFE250" w:rsidTr="008A16D2">
        <w:tc>
          <w:tcPr>
            <w:tcW w:w="678" w:type="dxa"/>
          </w:tcPr>
          <w:p w14:paraId="33C094D0" w14:textId="3A19A1F6"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98" w:type="dxa"/>
          </w:tcPr>
          <w:p w14:paraId="7E19C607" w14:textId="33107325"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99" w:type="dxa"/>
          </w:tcPr>
          <w:p w14:paraId="3DCEEBE9" w14:textId="191E13DB"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99" w:type="dxa"/>
          </w:tcPr>
          <w:p w14:paraId="463D1CBD" w14:textId="31EC81FD"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712" w:type="dxa"/>
          </w:tcPr>
          <w:p w14:paraId="3184695C" w14:textId="5943A10C"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712" w:type="dxa"/>
          </w:tcPr>
          <w:p w14:paraId="3FCABB13" w14:textId="128636E8"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5F779AC5" w14:textId="41F52B30"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0A7973BA" w14:textId="7586A029"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70595938" w14:textId="461F9B7C" w:rsidR="008A16D2" w:rsidRPr="00F72904" w:rsidRDefault="008A16D2" w:rsidP="00F72904">
            <w:pPr>
              <w:jc w:val="center"/>
              <w:rPr>
                <w:rFonts w:eastAsia="Times New Roman"/>
                <w:sz w:val="18"/>
                <w:szCs w:val="18"/>
              </w:rPr>
            </w:pPr>
            <w:r w:rsidRPr="00F72904">
              <w:rPr>
                <w:rFonts w:eastAsia="Times New Roman"/>
                <w:sz w:val="18"/>
                <w:szCs w:val="18"/>
              </w:rPr>
              <w:t>GWI</w:t>
            </w:r>
          </w:p>
        </w:tc>
        <w:tc>
          <w:tcPr>
            <w:tcW w:w="679" w:type="dxa"/>
          </w:tcPr>
          <w:p w14:paraId="2EC0B175" w14:textId="459CBABD"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581" w:type="dxa"/>
          </w:tcPr>
          <w:p w14:paraId="720D388F" w14:textId="28B4C492"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581" w:type="dxa"/>
          </w:tcPr>
          <w:p w14:paraId="70D522B3" w14:textId="39E5DBB2"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23" w:type="dxa"/>
          </w:tcPr>
          <w:p w14:paraId="35992C6C" w14:textId="422A2085"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51" w:type="dxa"/>
          </w:tcPr>
          <w:p w14:paraId="0E8A0848" w14:textId="652E5486" w:rsidR="008A16D2" w:rsidRPr="00F72904" w:rsidRDefault="008A16D2" w:rsidP="00F72904">
            <w:pPr>
              <w:jc w:val="center"/>
              <w:rPr>
                <w:rFonts w:eastAsia="Times New Roman"/>
                <w:sz w:val="18"/>
                <w:szCs w:val="18"/>
              </w:rPr>
            </w:pPr>
            <w:r w:rsidRPr="00F72904">
              <w:rPr>
                <w:rFonts w:eastAsia="Times New Roman"/>
                <w:sz w:val="18"/>
                <w:szCs w:val="18"/>
              </w:rPr>
              <w:t>Step</w:t>
            </w:r>
          </w:p>
        </w:tc>
      </w:tr>
      <w:tr w:rsidR="00F72904" w14:paraId="15AD4A38" w14:textId="606C7750" w:rsidTr="00F72904">
        <w:tc>
          <w:tcPr>
            <w:tcW w:w="9350" w:type="dxa"/>
            <w:gridSpan w:val="14"/>
            <w:shd w:val="clear" w:color="auto" w:fill="E2EFD9" w:themeFill="accent6" w:themeFillTint="33"/>
          </w:tcPr>
          <w:p w14:paraId="3C2A2B01" w14:textId="77777777" w:rsidR="00F72904" w:rsidRPr="00F72904" w:rsidRDefault="00F72904" w:rsidP="00F72904">
            <w:pPr>
              <w:jc w:val="center"/>
              <w:rPr>
                <w:rFonts w:eastAsia="Times New Roman"/>
                <w:b/>
                <w:bCs/>
                <w:sz w:val="18"/>
                <w:szCs w:val="18"/>
              </w:rPr>
            </w:pPr>
          </w:p>
        </w:tc>
      </w:tr>
      <w:tr w:rsidR="00F72904" w14:paraId="66993303" w14:textId="38C09144" w:rsidTr="00F72904">
        <w:tc>
          <w:tcPr>
            <w:tcW w:w="678" w:type="dxa"/>
            <w:shd w:val="clear" w:color="auto" w:fill="DEEAF6" w:themeFill="accent5" w:themeFillTint="33"/>
          </w:tcPr>
          <w:p w14:paraId="3405068F" w14:textId="62B6EDB4" w:rsidR="008A16D2" w:rsidRPr="00F72904" w:rsidRDefault="008A16D2" w:rsidP="00F72904">
            <w:pPr>
              <w:jc w:val="center"/>
              <w:rPr>
                <w:rFonts w:eastAsia="Times New Roman"/>
                <w:b/>
                <w:bCs/>
                <w:sz w:val="18"/>
                <w:szCs w:val="18"/>
              </w:rPr>
            </w:pPr>
            <w:r w:rsidRPr="00F72904">
              <w:rPr>
                <w:rFonts w:eastAsia="Times New Roman"/>
                <w:b/>
                <w:bCs/>
                <w:sz w:val="18"/>
                <w:szCs w:val="18"/>
              </w:rPr>
              <w:t>FY 2009</w:t>
            </w:r>
          </w:p>
        </w:tc>
        <w:tc>
          <w:tcPr>
            <w:tcW w:w="698" w:type="dxa"/>
            <w:shd w:val="clear" w:color="auto" w:fill="DEEAF6" w:themeFill="accent5" w:themeFillTint="33"/>
          </w:tcPr>
          <w:p w14:paraId="3FD968FA" w14:textId="4FF84F6A" w:rsidR="008A16D2" w:rsidRPr="00F72904" w:rsidRDefault="008A16D2" w:rsidP="00F72904">
            <w:pPr>
              <w:jc w:val="center"/>
              <w:rPr>
                <w:rFonts w:eastAsia="Times New Roman"/>
                <w:b/>
                <w:bCs/>
                <w:sz w:val="18"/>
                <w:szCs w:val="18"/>
              </w:rPr>
            </w:pPr>
            <w:r w:rsidRPr="00F72904">
              <w:rPr>
                <w:rFonts w:eastAsia="Times New Roman"/>
                <w:b/>
                <w:bCs/>
                <w:sz w:val="18"/>
                <w:szCs w:val="18"/>
              </w:rPr>
              <w:t>FY 2010</w:t>
            </w:r>
          </w:p>
        </w:tc>
        <w:tc>
          <w:tcPr>
            <w:tcW w:w="699" w:type="dxa"/>
            <w:shd w:val="clear" w:color="auto" w:fill="DEEAF6" w:themeFill="accent5" w:themeFillTint="33"/>
          </w:tcPr>
          <w:p w14:paraId="129D0E2C" w14:textId="203B07BF" w:rsidR="008A16D2" w:rsidRPr="00F72904" w:rsidRDefault="008A16D2" w:rsidP="00F72904">
            <w:pPr>
              <w:jc w:val="center"/>
              <w:rPr>
                <w:rFonts w:eastAsia="Times New Roman"/>
                <w:b/>
                <w:bCs/>
                <w:sz w:val="18"/>
                <w:szCs w:val="18"/>
              </w:rPr>
            </w:pPr>
            <w:r w:rsidRPr="00F72904">
              <w:rPr>
                <w:rFonts w:eastAsia="Times New Roman"/>
                <w:b/>
                <w:bCs/>
                <w:sz w:val="18"/>
                <w:szCs w:val="18"/>
              </w:rPr>
              <w:t>FY 2011</w:t>
            </w:r>
          </w:p>
        </w:tc>
        <w:tc>
          <w:tcPr>
            <w:tcW w:w="699" w:type="dxa"/>
            <w:shd w:val="clear" w:color="auto" w:fill="DEEAF6" w:themeFill="accent5" w:themeFillTint="33"/>
          </w:tcPr>
          <w:p w14:paraId="2E356F2C" w14:textId="1D47C951" w:rsidR="008A16D2" w:rsidRPr="00F72904" w:rsidRDefault="008A16D2" w:rsidP="00F72904">
            <w:pPr>
              <w:jc w:val="center"/>
              <w:rPr>
                <w:rFonts w:eastAsia="Times New Roman"/>
                <w:b/>
                <w:bCs/>
                <w:sz w:val="18"/>
                <w:szCs w:val="18"/>
              </w:rPr>
            </w:pPr>
            <w:r w:rsidRPr="00F72904">
              <w:rPr>
                <w:rFonts w:eastAsia="Times New Roman"/>
                <w:b/>
                <w:bCs/>
                <w:sz w:val="18"/>
                <w:szCs w:val="18"/>
              </w:rPr>
              <w:t>FY 2012</w:t>
            </w:r>
          </w:p>
        </w:tc>
        <w:tc>
          <w:tcPr>
            <w:tcW w:w="712" w:type="dxa"/>
            <w:shd w:val="clear" w:color="auto" w:fill="DEEAF6" w:themeFill="accent5" w:themeFillTint="33"/>
          </w:tcPr>
          <w:p w14:paraId="52F6C5DF" w14:textId="66E2E52A" w:rsidR="008A16D2" w:rsidRPr="00F72904" w:rsidRDefault="008A16D2" w:rsidP="00F72904">
            <w:pPr>
              <w:jc w:val="center"/>
              <w:rPr>
                <w:rFonts w:eastAsia="Times New Roman"/>
                <w:b/>
                <w:bCs/>
                <w:sz w:val="18"/>
                <w:szCs w:val="18"/>
              </w:rPr>
            </w:pPr>
            <w:r w:rsidRPr="00F72904">
              <w:rPr>
                <w:rFonts w:eastAsia="Times New Roman"/>
                <w:b/>
                <w:bCs/>
                <w:sz w:val="18"/>
                <w:szCs w:val="18"/>
              </w:rPr>
              <w:t>FY 2013</w:t>
            </w:r>
          </w:p>
        </w:tc>
        <w:tc>
          <w:tcPr>
            <w:tcW w:w="712" w:type="dxa"/>
            <w:shd w:val="clear" w:color="auto" w:fill="DEEAF6" w:themeFill="accent5" w:themeFillTint="33"/>
          </w:tcPr>
          <w:p w14:paraId="6011E283" w14:textId="291313B0" w:rsidR="008A16D2" w:rsidRPr="00F72904" w:rsidRDefault="008A16D2" w:rsidP="00F72904">
            <w:pPr>
              <w:jc w:val="center"/>
              <w:rPr>
                <w:rFonts w:eastAsia="Times New Roman"/>
                <w:b/>
                <w:bCs/>
                <w:sz w:val="18"/>
                <w:szCs w:val="18"/>
              </w:rPr>
            </w:pPr>
            <w:r w:rsidRPr="00F72904">
              <w:rPr>
                <w:rFonts w:eastAsia="Times New Roman"/>
                <w:b/>
                <w:bCs/>
                <w:sz w:val="18"/>
                <w:szCs w:val="18"/>
              </w:rPr>
              <w:t>FY 2014</w:t>
            </w:r>
          </w:p>
        </w:tc>
        <w:tc>
          <w:tcPr>
            <w:tcW w:w="679" w:type="dxa"/>
            <w:shd w:val="clear" w:color="auto" w:fill="DEEAF6" w:themeFill="accent5" w:themeFillTint="33"/>
          </w:tcPr>
          <w:p w14:paraId="292BA803" w14:textId="2A7951D3" w:rsidR="008A16D2" w:rsidRPr="00F72904" w:rsidRDefault="008A16D2" w:rsidP="00F72904">
            <w:pPr>
              <w:jc w:val="center"/>
              <w:rPr>
                <w:rFonts w:eastAsia="Times New Roman"/>
                <w:b/>
                <w:bCs/>
                <w:sz w:val="18"/>
                <w:szCs w:val="18"/>
              </w:rPr>
            </w:pPr>
            <w:r w:rsidRPr="00F72904">
              <w:rPr>
                <w:rFonts w:eastAsia="Times New Roman"/>
                <w:b/>
                <w:bCs/>
                <w:sz w:val="18"/>
                <w:szCs w:val="18"/>
              </w:rPr>
              <w:t>FY 2015</w:t>
            </w:r>
          </w:p>
        </w:tc>
        <w:tc>
          <w:tcPr>
            <w:tcW w:w="679" w:type="dxa"/>
            <w:shd w:val="clear" w:color="auto" w:fill="DEEAF6" w:themeFill="accent5" w:themeFillTint="33"/>
          </w:tcPr>
          <w:p w14:paraId="0AD94E90" w14:textId="746E90D3" w:rsidR="008A16D2" w:rsidRPr="00F72904" w:rsidRDefault="008A16D2" w:rsidP="00F72904">
            <w:pPr>
              <w:jc w:val="center"/>
              <w:rPr>
                <w:rFonts w:eastAsia="Times New Roman"/>
                <w:b/>
                <w:bCs/>
                <w:sz w:val="18"/>
                <w:szCs w:val="18"/>
              </w:rPr>
            </w:pPr>
            <w:r w:rsidRPr="00F72904">
              <w:rPr>
                <w:rFonts w:eastAsia="Times New Roman"/>
                <w:b/>
                <w:bCs/>
                <w:sz w:val="18"/>
                <w:szCs w:val="18"/>
              </w:rPr>
              <w:t>FY 2016</w:t>
            </w:r>
          </w:p>
        </w:tc>
        <w:tc>
          <w:tcPr>
            <w:tcW w:w="679" w:type="dxa"/>
            <w:shd w:val="clear" w:color="auto" w:fill="DEEAF6" w:themeFill="accent5" w:themeFillTint="33"/>
          </w:tcPr>
          <w:p w14:paraId="4DA7AB20" w14:textId="6141115D" w:rsidR="008A16D2" w:rsidRPr="00F72904" w:rsidRDefault="008A16D2" w:rsidP="00F72904">
            <w:pPr>
              <w:jc w:val="center"/>
              <w:rPr>
                <w:rFonts w:eastAsia="Times New Roman"/>
                <w:b/>
                <w:bCs/>
                <w:sz w:val="18"/>
                <w:szCs w:val="18"/>
              </w:rPr>
            </w:pPr>
            <w:r w:rsidRPr="00F72904">
              <w:rPr>
                <w:rFonts w:eastAsia="Times New Roman"/>
                <w:b/>
                <w:bCs/>
                <w:sz w:val="18"/>
                <w:szCs w:val="18"/>
              </w:rPr>
              <w:t>FY 2017</w:t>
            </w:r>
          </w:p>
        </w:tc>
        <w:tc>
          <w:tcPr>
            <w:tcW w:w="679" w:type="dxa"/>
            <w:shd w:val="clear" w:color="auto" w:fill="DEEAF6" w:themeFill="accent5" w:themeFillTint="33"/>
          </w:tcPr>
          <w:p w14:paraId="345CC909" w14:textId="6C20F72D" w:rsidR="008A16D2" w:rsidRPr="00F72904" w:rsidRDefault="008A16D2" w:rsidP="00F72904">
            <w:pPr>
              <w:jc w:val="center"/>
              <w:rPr>
                <w:rFonts w:eastAsia="Times New Roman"/>
                <w:b/>
                <w:bCs/>
                <w:sz w:val="18"/>
                <w:szCs w:val="18"/>
              </w:rPr>
            </w:pPr>
            <w:r w:rsidRPr="00F72904">
              <w:rPr>
                <w:rFonts w:eastAsia="Times New Roman"/>
                <w:b/>
                <w:bCs/>
                <w:sz w:val="18"/>
                <w:szCs w:val="18"/>
              </w:rPr>
              <w:t>FY 2018</w:t>
            </w:r>
          </w:p>
        </w:tc>
        <w:tc>
          <w:tcPr>
            <w:tcW w:w="581" w:type="dxa"/>
            <w:shd w:val="clear" w:color="auto" w:fill="DEEAF6" w:themeFill="accent5" w:themeFillTint="33"/>
          </w:tcPr>
          <w:p w14:paraId="4E8363BE" w14:textId="1F373415" w:rsidR="008A16D2" w:rsidRPr="00F72904" w:rsidRDefault="008A16D2" w:rsidP="00F72904">
            <w:pPr>
              <w:jc w:val="center"/>
              <w:rPr>
                <w:rFonts w:eastAsia="Times New Roman"/>
                <w:b/>
                <w:bCs/>
                <w:sz w:val="18"/>
                <w:szCs w:val="18"/>
              </w:rPr>
            </w:pPr>
            <w:r w:rsidRPr="00F72904">
              <w:rPr>
                <w:rFonts w:eastAsia="Times New Roman"/>
                <w:b/>
                <w:bCs/>
                <w:sz w:val="18"/>
                <w:szCs w:val="18"/>
              </w:rPr>
              <w:t>FY 2019</w:t>
            </w:r>
          </w:p>
        </w:tc>
        <w:tc>
          <w:tcPr>
            <w:tcW w:w="581" w:type="dxa"/>
            <w:shd w:val="clear" w:color="auto" w:fill="DEEAF6" w:themeFill="accent5" w:themeFillTint="33"/>
          </w:tcPr>
          <w:p w14:paraId="2E1F841B" w14:textId="687B117C" w:rsidR="008A16D2" w:rsidRPr="00F72904" w:rsidRDefault="008A16D2" w:rsidP="00F72904">
            <w:pPr>
              <w:jc w:val="center"/>
              <w:rPr>
                <w:rFonts w:eastAsia="Times New Roman"/>
                <w:b/>
                <w:bCs/>
                <w:sz w:val="18"/>
                <w:szCs w:val="18"/>
              </w:rPr>
            </w:pPr>
            <w:r w:rsidRPr="00F72904">
              <w:rPr>
                <w:rFonts w:eastAsia="Times New Roman"/>
                <w:b/>
                <w:bCs/>
                <w:sz w:val="18"/>
                <w:szCs w:val="18"/>
              </w:rPr>
              <w:t>F</w:t>
            </w:r>
            <w:r w:rsidR="00F72904" w:rsidRPr="00F72904">
              <w:rPr>
                <w:rFonts w:eastAsia="Times New Roman"/>
                <w:b/>
                <w:bCs/>
                <w:sz w:val="18"/>
                <w:szCs w:val="18"/>
              </w:rPr>
              <w:t>Y</w:t>
            </w:r>
            <w:r w:rsidRPr="00F72904">
              <w:rPr>
                <w:rFonts w:eastAsia="Times New Roman"/>
                <w:b/>
                <w:bCs/>
                <w:sz w:val="18"/>
                <w:szCs w:val="18"/>
              </w:rPr>
              <w:t xml:space="preserve"> 2020</w:t>
            </w:r>
          </w:p>
        </w:tc>
        <w:tc>
          <w:tcPr>
            <w:tcW w:w="623" w:type="dxa"/>
            <w:shd w:val="clear" w:color="auto" w:fill="DEEAF6" w:themeFill="accent5" w:themeFillTint="33"/>
          </w:tcPr>
          <w:p w14:paraId="6C44701F" w14:textId="4CB41467" w:rsidR="008A16D2" w:rsidRPr="00F72904" w:rsidRDefault="008A16D2" w:rsidP="00F72904">
            <w:pPr>
              <w:jc w:val="center"/>
              <w:rPr>
                <w:rFonts w:eastAsia="Times New Roman"/>
                <w:b/>
                <w:bCs/>
                <w:sz w:val="18"/>
                <w:szCs w:val="18"/>
              </w:rPr>
            </w:pPr>
            <w:r w:rsidRPr="00F72904">
              <w:rPr>
                <w:rFonts w:eastAsia="Times New Roman"/>
                <w:b/>
                <w:bCs/>
                <w:sz w:val="18"/>
                <w:szCs w:val="18"/>
              </w:rPr>
              <w:t>FY 2021</w:t>
            </w:r>
          </w:p>
        </w:tc>
        <w:tc>
          <w:tcPr>
            <w:tcW w:w="651" w:type="dxa"/>
            <w:shd w:val="clear" w:color="auto" w:fill="DEEAF6" w:themeFill="accent5" w:themeFillTint="33"/>
          </w:tcPr>
          <w:p w14:paraId="4E91B79E" w14:textId="791F82AA" w:rsidR="008A16D2" w:rsidRPr="00F72904" w:rsidRDefault="008A16D2" w:rsidP="00F72904">
            <w:pPr>
              <w:jc w:val="center"/>
              <w:rPr>
                <w:rFonts w:eastAsia="Times New Roman"/>
                <w:b/>
                <w:bCs/>
                <w:sz w:val="18"/>
                <w:szCs w:val="18"/>
              </w:rPr>
            </w:pPr>
            <w:r w:rsidRPr="00F72904">
              <w:rPr>
                <w:rFonts w:eastAsia="Times New Roman"/>
                <w:b/>
                <w:bCs/>
                <w:sz w:val="18"/>
                <w:szCs w:val="18"/>
              </w:rPr>
              <w:t>FY 2022</w:t>
            </w:r>
          </w:p>
        </w:tc>
      </w:tr>
      <w:tr w:rsidR="008A16D2" w14:paraId="374AD01E" w14:textId="473E010A" w:rsidTr="008A16D2">
        <w:tc>
          <w:tcPr>
            <w:tcW w:w="678" w:type="dxa"/>
          </w:tcPr>
          <w:p w14:paraId="1E46E4A4" w14:textId="47870BAF"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98" w:type="dxa"/>
          </w:tcPr>
          <w:p w14:paraId="20BE264C" w14:textId="6812FDDE" w:rsidR="008A16D2" w:rsidRPr="00F72904" w:rsidRDefault="00766664" w:rsidP="00F72904">
            <w:pPr>
              <w:jc w:val="center"/>
              <w:rPr>
                <w:rFonts w:eastAsia="Times New Roman"/>
                <w:sz w:val="18"/>
                <w:szCs w:val="18"/>
              </w:rPr>
            </w:pPr>
            <w:r>
              <w:rPr>
                <w:rFonts w:eastAsia="Times New Roman"/>
                <w:sz w:val="18"/>
                <w:szCs w:val="18"/>
              </w:rPr>
              <w:t>None</w:t>
            </w:r>
          </w:p>
        </w:tc>
        <w:tc>
          <w:tcPr>
            <w:tcW w:w="699" w:type="dxa"/>
          </w:tcPr>
          <w:p w14:paraId="39CFE65C" w14:textId="5D046339" w:rsidR="008A16D2" w:rsidRPr="00F72904" w:rsidRDefault="00766664" w:rsidP="00F72904">
            <w:pPr>
              <w:jc w:val="center"/>
              <w:rPr>
                <w:rFonts w:eastAsia="Times New Roman"/>
                <w:sz w:val="18"/>
                <w:szCs w:val="18"/>
              </w:rPr>
            </w:pPr>
            <w:r>
              <w:rPr>
                <w:rFonts w:eastAsia="Times New Roman"/>
                <w:sz w:val="18"/>
                <w:szCs w:val="18"/>
              </w:rPr>
              <w:t>None</w:t>
            </w:r>
          </w:p>
        </w:tc>
        <w:tc>
          <w:tcPr>
            <w:tcW w:w="699" w:type="dxa"/>
          </w:tcPr>
          <w:p w14:paraId="77C52C76" w14:textId="7C78386C" w:rsidR="008A16D2" w:rsidRPr="00F72904" w:rsidRDefault="00766664" w:rsidP="00F72904">
            <w:pPr>
              <w:jc w:val="center"/>
              <w:rPr>
                <w:rFonts w:eastAsia="Times New Roman"/>
                <w:sz w:val="18"/>
                <w:szCs w:val="18"/>
              </w:rPr>
            </w:pPr>
            <w:r>
              <w:rPr>
                <w:rFonts w:eastAsia="Times New Roman"/>
                <w:sz w:val="18"/>
                <w:szCs w:val="18"/>
              </w:rPr>
              <w:t>None</w:t>
            </w:r>
          </w:p>
        </w:tc>
        <w:tc>
          <w:tcPr>
            <w:tcW w:w="712" w:type="dxa"/>
          </w:tcPr>
          <w:p w14:paraId="6247B149" w14:textId="5EAA158A" w:rsidR="008A16D2" w:rsidRPr="00F72904" w:rsidRDefault="008A16D2" w:rsidP="00F72904">
            <w:pPr>
              <w:jc w:val="center"/>
              <w:rPr>
                <w:rFonts w:eastAsia="Times New Roman"/>
                <w:sz w:val="18"/>
                <w:szCs w:val="18"/>
              </w:rPr>
            </w:pPr>
            <w:r w:rsidRPr="00F72904">
              <w:rPr>
                <w:rFonts w:eastAsia="Times New Roman"/>
                <w:sz w:val="18"/>
                <w:szCs w:val="18"/>
              </w:rPr>
              <w:t>GWI</w:t>
            </w:r>
          </w:p>
        </w:tc>
        <w:tc>
          <w:tcPr>
            <w:tcW w:w="712" w:type="dxa"/>
          </w:tcPr>
          <w:p w14:paraId="736938A0" w14:textId="32EE8786" w:rsidR="008A16D2" w:rsidRPr="00F72904" w:rsidRDefault="008A16D2" w:rsidP="00F72904">
            <w:pPr>
              <w:jc w:val="center"/>
              <w:rPr>
                <w:rFonts w:eastAsia="Times New Roman"/>
                <w:sz w:val="18"/>
                <w:szCs w:val="18"/>
              </w:rPr>
            </w:pPr>
            <w:r w:rsidRPr="00F72904">
              <w:rPr>
                <w:rFonts w:eastAsia="Times New Roman"/>
                <w:sz w:val="18"/>
                <w:szCs w:val="18"/>
              </w:rPr>
              <w:t>GWI</w:t>
            </w:r>
          </w:p>
        </w:tc>
        <w:tc>
          <w:tcPr>
            <w:tcW w:w="679" w:type="dxa"/>
          </w:tcPr>
          <w:p w14:paraId="26AE3CAD" w14:textId="03D1FDDF"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055A77B7" w14:textId="2A05047E"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7AAF6A2A" w14:textId="1D8A1D42"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79" w:type="dxa"/>
          </w:tcPr>
          <w:p w14:paraId="3688C06C" w14:textId="56912B64"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581" w:type="dxa"/>
          </w:tcPr>
          <w:p w14:paraId="21486AAB" w14:textId="1A3A80EF"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581" w:type="dxa"/>
          </w:tcPr>
          <w:p w14:paraId="674EBFEF" w14:textId="51710FFD" w:rsidR="008A16D2" w:rsidRPr="00F72904" w:rsidRDefault="008A16D2" w:rsidP="00F72904">
            <w:pPr>
              <w:jc w:val="center"/>
              <w:rPr>
                <w:rFonts w:eastAsia="Times New Roman"/>
                <w:sz w:val="18"/>
                <w:szCs w:val="18"/>
              </w:rPr>
            </w:pPr>
            <w:r w:rsidRPr="00F72904">
              <w:rPr>
                <w:rFonts w:eastAsia="Times New Roman"/>
                <w:sz w:val="18"/>
                <w:szCs w:val="18"/>
              </w:rPr>
              <w:t>Step</w:t>
            </w:r>
          </w:p>
        </w:tc>
        <w:tc>
          <w:tcPr>
            <w:tcW w:w="623" w:type="dxa"/>
          </w:tcPr>
          <w:p w14:paraId="24246E00" w14:textId="1F6D1524" w:rsidR="008A16D2" w:rsidRPr="00F72904" w:rsidRDefault="00E33C15" w:rsidP="00F72904">
            <w:pPr>
              <w:jc w:val="center"/>
              <w:rPr>
                <w:rFonts w:eastAsia="Times New Roman"/>
                <w:sz w:val="18"/>
                <w:szCs w:val="18"/>
              </w:rPr>
            </w:pPr>
            <w:r>
              <w:rPr>
                <w:rFonts w:eastAsia="Times New Roman"/>
                <w:sz w:val="18"/>
                <w:szCs w:val="18"/>
              </w:rPr>
              <w:t>None</w:t>
            </w:r>
          </w:p>
        </w:tc>
        <w:tc>
          <w:tcPr>
            <w:tcW w:w="651" w:type="dxa"/>
          </w:tcPr>
          <w:p w14:paraId="30BAB1E7" w14:textId="62B658CF" w:rsidR="008A16D2" w:rsidRPr="00F72904" w:rsidRDefault="008A16D2" w:rsidP="00F72904">
            <w:pPr>
              <w:jc w:val="center"/>
              <w:rPr>
                <w:rFonts w:eastAsia="Times New Roman"/>
                <w:sz w:val="18"/>
                <w:szCs w:val="18"/>
              </w:rPr>
            </w:pPr>
            <w:r w:rsidRPr="00F72904">
              <w:rPr>
                <w:rFonts w:eastAsia="Times New Roman"/>
                <w:sz w:val="18"/>
                <w:szCs w:val="18"/>
              </w:rPr>
              <w:t>GWI</w:t>
            </w:r>
          </w:p>
        </w:tc>
      </w:tr>
    </w:tbl>
    <w:p w14:paraId="5963CC49" w14:textId="77777777" w:rsidR="008A16D2" w:rsidRDefault="008A16D2" w:rsidP="00840F5D">
      <w:pPr>
        <w:rPr>
          <w:rFonts w:eastAsia="Times New Roman"/>
          <w:b/>
          <w:bCs/>
          <w:sz w:val="24"/>
          <w:szCs w:val="24"/>
        </w:rPr>
      </w:pPr>
    </w:p>
    <w:p w14:paraId="1AE0670F" w14:textId="7559DCF7" w:rsidR="00840F5D" w:rsidRPr="006824E4" w:rsidRDefault="005249D1" w:rsidP="00840F5D">
      <w:pPr>
        <w:rPr>
          <w:rFonts w:eastAsia="Times New Roman"/>
          <w:b/>
          <w:bCs/>
          <w:sz w:val="24"/>
          <w:szCs w:val="24"/>
        </w:rPr>
      </w:pPr>
      <w:r w:rsidRPr="006824E4">
        <w:rPr>
          <w:rFonts w:eastAsia="Times New Roman"/>
          <w:b/>
          <w:bCs/>
          <w:sz w:val="24"/>
          <w:szCs w:val="24"/>
        </w:rPr>
        <w:t>Public Safety Compensation Actions – Costs:</w:t>
      </w:r>
    </w:p>
    <w:p w14:paraId="756EA06D" w14:textId="300D78A6" w:rsidR="00114DD5" w:rsidRDefault="00114DD5" w:rsidP="00840F5D">
      <w:pPr>
        <w:rPr>
          <w:rFonts w:eastAsia="Times New Roman"/>
        </w:rPr>
      </w:pPr>
    </w:p>
    <w:p w14:paraId="0FDA464F" w14:textId="2EA0F241" w:rsidR="00114DD5" w:rsidRDefault="00114DD5" w:rsidP="00840F5D">
      <w:pPr>
        <w:rPr>
          <w:rFonts w:eastAsia="Times New Roman"/>
        </w:rPr>
      </w:pPr>
      <w:r>
        <w:rPr>
          <w:rFonts w:eastAsia="Times New Roman"/>
        </w:rPr>
        <w:t xml:space="preserve">The Proposed FY 2023 Budget provides a five percent GWI to all city employees including all sworn public safety employees.  Additional compensation actions and their costs are outlined below. </w:t>
      </w:r>
    </w:p>
    <w:p w14:paraId="2AC211CB" w14:textId="72316D0A" w:rsidR="005249D1" w:rsidRDefault="005249D1" w:rsidP="00840F5D">
      <w:pPr>
        <w:rPr>
          <w:rFonts w:eastAsia="Times New Roman"/>
        </w:rPr>
      </w:pPr>
    </w:p>
    <w:p w14:paraId="5449BE78" w14:textId="57C00BD2" w:rsidR="00114DD5" w:rsidRPr="00114DD5" w:rsidRDefault="005249D1" w:rsidP="00114DD5">
      <w:pPr>
        <w:pStyle w:val="ListParagraph"/>
        <w:numPr>
          <w:ilvl w:val="0"/>
          <w:numId w:val="2"/>
        </w:numPr>
        <w:rPr>
          <w:rFonts w:eastAsia="Times New Roman"/>
        </w:rPr>
      </w:pPr>
      <w:r>
        <w:rPr>
          <w:rFonts w:eastAsia="Times New Roman"/>
        </w:rPr>
        <w:t xml:space="preserve">A one percent GWI for </w:t>
      </w:r>
      <w:r w:rsidR="00114DD5">
        <w:rPr>
          <w:rFonts w:eastAsia="Times New Roman"/>
        </w:rPr>
        <w:t xml:space="preserve">all </w:t>
      </w:r>
      <w:r>
        <w:rPr>
          <w:rFonts w:eastAsia="Times New Roman"/>
        </w:rPr>
        <w:t>sworn public safety employees: $950</w:t>
      </w:r>
      <w:r w:rsidR="00114DD5">
        <w:rPr>
          <w:rFonts w:eastAsia="Times New Roman"/>
        </w:rPr>
        <w:t>K</w:t>
      </w:r>
    </w:p>
    <w:p w14:paraId="394A50E4" w14:textId="137EAC98" w:rsidR="005249D1" w:rsidRDefault="005249D1" w:rsidP="005249D1">
      <w:pPr>
        <w:pStyle w:val="ListParagraph"/>
        <w:numPr>
          <w:ilvl w:val="0"/>
          <w:numId w:val="2"/>
        </w:numPr>
        <w:rPr>
          <w:rFonts w:eastAsia="Times New Roman"/>
        </w:rPr>
      </w:pPr>
      <w:r>
        <w:rPr>
          <w:rFonts w:eastAsia="Times New Roman"/>
        </w:rPr>
        <w:t xml:space="preserve">A step </w:t>
      </w:r>
      <w:proofErr w:type="gramStart"/>
      <w:r>
        <w:rPr>
          <w:rFonts w:eastAsia="Times New Roman"/>
        </w:rPr>
        <w:t>increase</w:t>
      </w:r>
      <w:proofErr w:type="gramEnd"/>
      <w:r>
        <w:rPr>
          <w:rFonts w:eastAsia="Times New Roman"/>
        </w:rPr>
        <w:t xml:space="preserve"> for all </w:t>
      </w:r>
      <w:r w:rsidR="00114DD5">
        <w:rPr>
          <w:rFonts w:eastAsia="Times New Roman"/>
        </w:rPr>
        <w:t xml:space="preserve">sworn </w:t>
      </w:r>
      <w:r>
        <w:rPr>
          <w:rFonts w:eastAsia="Times New Roman"/>
        </w:rPr>
        <w:t>public safety</w:t>
      </w:r>
      <w:r w:rsidR="00114DD5">
        <w:rPr>
          <w:rFonts w:eastAsia="Times New Roman"/>
        </w:rPr>
        <w:t xml:space="preserve"> employees</w:t>
      </w:r>
      <w:r>
        <w:rPr>
          <w:rFonts w:eastAsia="Times New Roman"/>
        </w:rPr>
        <w:t>: $3.1M</w:t>
      </w:r>
    </w:p>
    <w:p w14:paraId="7DAFEC80" w14:textId="547B4E4E" w:rsidR="0081182C" w:rsidRDefault="0081182C" w:rsidP="005249D1">
      <w:pPr>
        <w:pStyle w:val="ListParagraph"/>
        <w:numPr>
          <w:ilvl w:val="0"/>
          <w:numId w:val="2"/>
        </w:numPr>
        <w:rPr>
          <w:rFonts w:eastAsia="Times New Roman"/>
        </w:rPr>
      </w:pPr>
      <w:r>
        <w:rPr>
          <w:rFonts w:eastAsia="Times New Roman"/>
        </w:rPr>
        <w:t xml:space="preserve">A step </w:t>
      </w:r>
      <w:proofErr w:type="gramStart"/>
      <w:r>
        <w:rPr>
          <w:rFonts w:eastAsia="Times New Roman"/>
        </w:rPr>
        <w:t>increase</w:t>
      </w:r>
      <w:proofErr w:type="gramEnd"/>
      <w:r>
        <w:rPr>
          <w:rFonts w:eastAsia="Times New Roman"/>
        </w:rPr>
        <w:t xml:space="preserve"> for sworn public safety employees with 6+ years of tenure</w:t>
      </w:r>
    </w:p>
    <w:p w14:paraId="37BB123F" w14:textId="45EF33A5" w:rsidR="00114DD5" w:rsidRDefault="00114DD5" w:rsidP="005249D1">
      <w:pPr>
        <w:pStyle w:val="ListParagraph"/>
        <w:numPr>
          <w:ilvl w:val="0"/>
          <w:numId w:val="2"/>
        </w:numPr>
        <w:rPr>
          <w:rFonts w:eastAsia="Times New Roman"/>
        </w:rPr>
      </w:pPr>
      <w:r>
        <w:rPr>
          <w:rFonts w:eastAsia="Times New Roman"/>
        </w:rPr>
        <w:t xml:space="preserve">A step </w:t>
      </w:r>
      <w:proofErr w:type="gramStart"/>
      <w:r>
        <w:rPr>
          <w:rFonts w:eastAsia="Times New Roman"/>
        </w:rPr>
        <w:t>increase</w:t>
      </w:r>
      <w:proofErr w:type="gramEnd"/>
      <w:r>
        <w:rPr>
          <w:rFonts w:eastAsia="Times New Roman"/>
        </w:rPr>
        <w:t xml:space="preserve"> for all sworn NPD employees:</w:t>
      </w:r>
      <w:r w:rsidR="00177A54">
        <w:rPr>
          <w:rFonts w:eastAsia="Times New Roman"/>
        </w:rPr>
        <w:t xml:space="preserve"> $1.45M</w:t>
      </w:r>
      <w:r>
        <w:rPr>
          <w:rFonts w:eastAsia="Times New Roman"/>
        </w:rPr>
        <w:t xml:space="preserve"> </w:t>
      </w:r>
    </w:p>
    <w:p w14:paraId="2835C23A" w14:textId="3F1FCE78" w:rsidR="00114DD5" w:rsidRPr="00114DD5" w:rsidRDefault="00114DD5" w:rsidP="00114DD5">
      <w:pPr>
        <w:pStyle w:val="ListParagraph"/>
        <w:numPr>
          <w:ilvl w:val="0"/>
          <w:numId w:val="2"/>
        </w:numPr>
        <w:rPr>
          <w:rFonts w:eastAsia="Times New Roman"/>
        </w:rPr>
      </w:pPr>
      <w:r>
        <w:rPr>
          <w:rFonts w:eastAsia="Times New Roman"/>
        </w:rPr>
        <w:t xml:space="preserve">A step increase for all sworn NFR employees: </w:t>
      </w:r>
      <w:r w:rsidR="00177A54">
        <w:rPr>
          <w:rFonts w:eastAsia="Times New Roman"/>
        </w:rPr>
        <w:t>$1.15M</w:t>
      </w:r>
    </w:p>
    <w:p w14:paraId="01CA7BE4" w14:textId="3D96B9D5" w:rsidR="00114DD5" w:rsidRDefault="00114DD5" w:rsidP="00114DD5">
      <w:pPr>
        <w:pStyle w:val="ListParagraph"/>
        <w:numPr>
          <w:ilvl w:val="0"/>
          <w:numId w:val="2"/>
        </w:numPr>
        <w:rPr>
          <w:rFonts w:eastAsia="Times New Roman"/>
        </w:rPr>
      </w:pPr>
      <w:r>
        <w:rPr>
          <w:rFonts w:eastAsia="Times New Roman"/>
        </w:rPr>
        <w:t>A step increase for all sworn NSO employees:</w:t>
      </w:r>
      <w:r w:rsidR="00177A54">
        <w:rPr>
          <w:rFonts w:eastAsia="Times New Roman"/>
        </w:rPr>
        <w:t xml:space="preserve"> $530K</w:t>
      </w:r>
    </w:p>
    <w:p w14:paraId="5A63FAE5" w14:textId="65863DC9" w:rsidR="001243F5" w:rsidRDefault="006824E4" w:rsidP="00114DD5">
      <w:pPr>
        <w:pStyle w:val="ListParagraph"/>
        <w:numPr>
          <w:ilvl w:val="0"/>
          <w:numId w:val="2"/>
        </w:numPr>
        <w:rPr>
          <w:rFonts w:eastAsia="Times New Roman"/>
        </w:rPr>
      </w:pPr>
      <w:r>
        <w:rPr>
          <w:rFonts w:eastAsia="Times New Roman"/>
        </w:rPr>
        <w:t xml:space="preserve">The cost of a </w:t>
      </w:r>
      <w:r w:rsidR="001243F5">
        <w:rPr>
          <w:rFonts w:eastAsia="Times New Roman"/>
        </w:rPr>
        <w:t xml:space="preserve">stipend or special pay to incentivize </w:t>
      </w:r>
      <w:r>
        <w:rPr>
          <w:rFonts w:eastAsia="Times New Roman"/>
        </w:rPr>
        <w:t xml:space="preserve">targeted groups is dependent on the size of the group and the amount of the stipend.   </w:t>
      </w:r>
    </w:p>
    <w:p w14:paraId="67902CAC" w14:textId="77777777" w:rsidR="00114DD5" w:rsidRDefault="00114DD5" w:rsidP="00114DD5">
      <w:pPr>
        <w:rPr>
          <w:rFonts w:eastAsia="Times New Roman"/>
        </w:rPr>
      </w:pPr>
    </w:p>
    <w:p w14:paraId="0D5EC4D7" w14:textId="77777777" w:rsidR="0081182C" w:rsidRDefault="0081182C" w:rsidP="00E33C15">
      <w:r>
        <w:t>While the cost for individual department pay actions is provided above, it is nearly impossible to take such action with NPD, NFR and Sherriff all in the public safety step plan.</w:t>
      </w:r>
    </w:p>
    <w:p w14:paraId="595B12D0" w14:textId="77777777" w:rsidR="0081182C" w:rsidRDefault="0081182C" w:rsidP="00E33C15"/>
    <w:p w14:paraId="29EDCCD8" w14:textId="07B22C53" w:rsidR="0081182C" w:rsidRPr="0081182C" w:rsidRDefault="0081182C" w:rsidP="00E33C15">
      <w:r>
        <w:t xml:space="preserve"> </w:t>
      </w:r>
    </w:p>
    <w:p w14:paraId="3FC44CD0" w14:textId="1977F48F" w:rsidR="00E33C15" w:rsidRPr="0081182C" w:rsidRDefault="00E33C15" w:rsidP="00E33C15">
      <w:pPr>
        <w:rPr>
          <w:i/>
          <w:iCs/>
        </w:rPr>
      </w:pPr>
      <w:r w:rsidRPr="0081182C">
        <w:rPr>
          <w:i/>
          <w:iCs/>
        </w:rPr>
        <w:t>FY 2022 Mid-Year Public Safety Retention Actions</w:t>
      </w:r>
    </w:p>
    <w:p w14:paraId="74019706" w14:textId="77777777" w:rsidR="00E33C15" w:rsidRDefault="00E33C15" w:rsidP="00E33C15"/>
    <w:p w14:paraId="2BFF2F4B" w14:textId="2D4765F6" w:rsidR="00E33C15" w:rsidRDefault="00E33C15" w:rsidP="00E33C15">
      <w:r>
        <w:t xml:space="preserve">In </w:t>
      </w:r>
      <w:r w:rsidR="00191782">
        <w:t>the Fall of 20</w:t>
      </w:r>
      <w:r>
        <w:t>22, City Council passed an amendment to the city’s Compensation Plan and Budget to implement the following</w:t>
      </w:r>
      <w:r w:rsidR="00191782">
        <w:t xml:space="preserve"> actions</w:t>
      </w:r>
      <w:r>
        <w:t>:</w:t>
      </w:r>
    </w:p>
    <w:p w14:paraId="77C60AE9" w14:textId="547E8FC3" w:rsidR="00E33C15" w:rsidRDefault="00E33C15" w:rsidP="00E33C15">
      <w:pPr>
        <w:pStyle w:val="ListParagraph"/>
        <w:numPr>
          <w:ilvl w:val="0"/>
          <w:numId w:val="3"/>
        </w:numPr>
        <w:spacing w:after="160" w:line="259" w:lineRule="auto"/>
        <w:contextualSpacing/>
      </w:pPr>
      <w:r>
        <w:t>Transition the Sheriff’s Office to the</w:t>
      </w:r>
      <w:r w:rsidR="00191782">
        <w:t xml:space="preserve"> joint</w:t>
      </w:r>
      <w:r>
        <w:t xml:space="preserve"> Public Safety pay plan</w:t>
      </w:r>
    </w:p>
    <w:p w14:paraId="039D9578" w14:textId="420D6154" w:rsidR="00E33C15" w:rsidRDefault="00E33C15" w:rsidP="00E33C15">
      <w:pPr>
        <w:pStyle w:val="ListParagraph"/>
        <w:numPr>
          <w:ilvl w:val="0"/>
          <w:numId w:val="3"/>
        </w:numPr>
        <w:spacing w:after="160" w:line="259" w:lineRule="auto"/>
        <w:contextualSpacing/>
      </w:pPr>
      <w:r>
        <w:t>Create a Retention and Referral Bonus program for Police</w:t>
      </w:r>
      <w:r w:rsidR="00191782">
        <w:t xml:space="preserve"> ($12K for Officers, Corporals, Sergeants &amp; $8K for Lieutenants, Captains)</w:t>
      </w:r>
    </w:p>
    <w:p w14:paraId="4F7BC3C8" w14:textId="77777777" w:rsidR="00E33C15" w:rsidRDefault="00E33C15" w:rsidP="00E33C15">
      <w:pPr>
        <w:pStyle w:val="ListParagraph"/>
        <w:numPr>
          <w:ilvl w:val="0"/>
          <w:numId w:val="3"/>
        </w:numPr>
        <w:spacing w:after="160" w:line="259" w:lineRule="auto"/>
        <w:contextualSpacing/>
      </w:pPr>
      <w:r>
        <w:t>Fund additional replacement vehicles for Public Safety adding 15 cruisers, two medics, and one ladder truck bringing the total vehicles replaced in FY 2022 to 49 vehicles</w:t>
      </w:r>
    </w:p>
    <w:p w14:paraId="5A12A96B" w14:textId="77777777" w:rsidR="00E33C15" w:rsidRDefault="00E33C15" w:rsidP="00E33C15">
      <w:pPr>
        <w:pStyle w:val="ListParagraph"/>
        <w:numPr>
          <w:ilvl w:val="0"/>
          <w:numId w:val="3"/>
        </w:numPr>
        <w:spacing w:after="160" w:line="259" w:lineRule="auto"/>
        <w:contextualSpacing/>
      </w:pPr>
      <w:r>
        <w:t>Implement a Tuition Assistance Program</w:t>
      </w:r>
    </w:p>
    <w:p w14:paraId="18FA5EF1" w14:textId="77777777" w:rsidR="00E33C15" w:rsidRDefault="00E33C15" w:rsidP="00E33C15">
      <w:pPr>
        <w:pStyle w:val="ListParagraph"/>
        <w:numPr>
          <w:ilvl w:val="0"/>
          <w:numId w:val="3"/>
        </w:numPr>
        <w:spacing w:after="160" w:line="259" w:lineRule="auto"/>
        <w:contextualSpacing/>
      </w:pPr>
      <w:r>
        <w:t>Implement a Citywide Leave Buyback Program (one-time)</w:t>
      </w:r>
    </w:p>
    <w:p w14:paraId="5818FAB2" w14:textId="77777777" w:rsidR="00E33C15" w:rsidRDefault="00E33C15" w:rsidP="00E33C15">
      <w:pPr>
        <w:pStyle w:val="ListParagraph"/>
        <w:numPr>
          <w:ilvl w:val="0"/>
          <w:numId w:val="3"/>
        </w:numPr>
        <w:spacing w:after="160" w:line="259" w:lineRule="auto"/>
        <w:contextualSpacing/>
      </w:pPr>
      <w:r>
        <w:t>Fund a comprehensive advertising campaign with a focus on Public Safety positions</w:t>
      </w:r>
    </w:p>
    <w:p w14:paraId="515672E1" w14:textId="77777777" w:rsidR="00E33C15" w:rsidRDefault="00E33C15" w:rsidP="00E33C15">
      <w:r>
        <w:t>This amendment came after the FY 2022 Adopted Budget had already implemented the following:</w:t>
      </w:r>
    </w:p>
    <w:p w14:paraId="7C81F102" w14:textId="39DEA2B4" w:rsidR="00E33C15" w:rsidRDefault="00191782" w:rsidP="00E33C15">
      <w:pPr>
        <w:pStyle w:val="ListParagraph"/>
        <w:numPr>
          <w:ilvl w:val="0"/>
          <w:numId w:val="4"/>
        </w:numPr>
        <w:spacing w:after="160" w:line="259" w:lineRule="auto"/>
        <w:contextualSpacing/>
      </w:pPr>
      <w:r>
        <w:t>Increased starting pay for Officers to highest in the region</w:t>
      </w:r>
    </w:p>
    <w:p w14:paraId="2007E0AD" w14:textId="567BD9FD" w:rsidR="00E33C15" w:rsidRDefault="00191782" w:rsidP="00E33C15">
      <w:pPr>
        <w:pStyle w:val="ListParagraph"/>
        <w:numPr>
          <w:ilvl w:val="0"/>
          <w:numId w:val="4"/>
        </w:numPr>
        <w:spacing w:after="160" w:line="259" w:lineRule="auto"/>
        <w:contextualSpacing/>
      </w:pPr>
      <w:r>
        <w:t>Regraded three Fire-Rescue ranks</w:t>
      </w:r>
    </w:p>
    <w:p w14:paraId="69430591" w14:textId="524D8782" w:rsidR="00E33C15" w:rsidRDefault="00191782" w:rsidP="00E33C15">
      <w:pPr>
        <w:pStyle w:val="ListParagraph"/>
        <w:numPr>
          <w:ilvl w:val="0"/>
          <w:numId w:val="4"/>
        </w:numPr>
        <w:spacing w:after="160" w:line="259" w:lineRule="auto"/>
        <w:contextualSpacing/>
      </w:pPr>
      <w:r>
        <w:t>Provided a three percent salary increase to all sworn public safety employees</w:t>
      </w:r>
    </w:p>
    <w:p w14:paraId="7758FD6D" w14:textId="66CB46B8" w:rsidR="00E33C15" w:rsidRPr="00191782" w:rsidRDefault="00191782" w:rsidP="00114DD5">
      <w:pPr>
        <w:pStyle w:val="ListParagraph"/>
        <w:numPr>
          <w:ilvl w:val="0"/>
          <w:numId w:val="4"/>
        </w:numPr>
        <w:spacing w:after="160" w:line="259" w:lineRule="auto"/>
        <w:contextualSpacing/>
      </w:pPr>
      <w:r>
        <w:t xml:space="preserve">Increased Sheriff’s Deputy Pay by </w:t>
      </w:r>
      <w:r w:rsidR="00E33C15">
        <w:t>average increase of five percen</w:t>
      </w:r>
      <w:r>
        <w:t>t</w:t>
      </w:r>
    </w:p>
    <w:p w14:paraId="08FA4A05" w14:textId="56402F07" w:rsidR="00114DD5" w:rsidRPr="006824E4" w:rsidRDefault="008E5A89" w:rsidP="00114DD5">
      <w:pPr>
        <w:rPr>
          <w:rFonts w:eastAsia="Times New Roman"/>
          <w:b/>
          <w:bCs/>
        </w:rPr>
      </w:pPr>
      <w:r w:rsidRPr="006824E4">
        <w:rPr>
          <w:rFonts w:eastAsia="Times New Roman"/>
          <w:b/>
          <w:bCs/>
          <w:sz w:val="24"/>
          <w:szCs w:val="24"/>
        </w:rPr>
        <w:t>NPD Staffing level</w:t>
      </w:r>
    </w:p>
    <w:p w14:paraId="7F3D95DD" w14:textId="78AB2BA1" w:rsidR="005F1BF0" w:rsidRDefault="005F1BF0" w:rsidP="00114DD5">
      <w:pPr>
        <w:rPr>
          <w:rFonts w:eastAsia="Times New Roman"/>
        </w:rPr>
      </w:pPr>
    </w:p>
    <w:p w14:paraId="59B5B281" w14:textId="3159B5BD" w:rsidR="005F1BF0" w:rsidRDefault="006824E4" w:rsidP="00114DD5">
      <w:pPr>
        <w:rPr>
          <w:rFonts w:eastAsia="Times New Roman"/>
        </w:rPr>
      </w:pPr>
      <w:r>
        <w:rPr>
          <w:rFonts w:eastAsia="Times New Roman"/>
        </w:rPr>
        <w:t>Since 2017 the city provided police officers with a step increase or a GWI every year except FY 2021 (The COVID Budget) and increased starting pay for police officers to the highest in the region ($52,105 in the Proposed FY 2023 Budget).  Despite these actions t</w:t>
      </w:r>
      <w:r w:rsidR="005F1BF0">
        <w:rPr>
          <w:rFonts w:eastAsia="Times New Roman"/>
        </w:rPr>
        <w:t>he NPD current</w:t>
      </w:r>
      <w:r w:rsidR="00F520F0">
        <w:rPr>
          <w:rFonts w:eastAsia="Times New Roman"/>
        </w:rPr>
        <w:t>ly</w:t>
      </w:r>
      <w:r w:rsidR="005F1BF0">
        <w:rPr>
          <w:rFonts w:eastAsia="Times New Roman"/>
        </w:rPr>
        <w:t xml:space="preserve"> faces a historically high level of vacant positions.  Total filled officer positions have decreased from 738 five years ago to 562 today – a decrease of 176 officers or 23.9 percent of the workforce.  Details are below</w:t>
      </w:r>
    </w:p>
    <w:p w14:paraId="503066C3" w14:textId="6BE338A7" w:rsidR="008E5A89" w:rsidRDefault="008E5A89" w:rsidP="00114DD5">
      <w:pPr>
        <w:rPr>
          <w:rFonts w:eastAsia="Times New Roman"/>
        </w:rPr>
      </w:pPr>
    </w:p>
    <w:p w14:paraId="42958987" w14:textId="4CB13550" w:rsidR="00177A54" w:rsidRDefault="008E5A89" w:rsidP="00177A54">
      <w:pPr>
        <w:pStyle w:val="ListParagraph"/>
        <w:numPr>
          <w:ilvl w:val="0"/>
          <w:numId w:val="2"/>
        </w:numPr>
        <w:rPr>
          <w:rFonts w:eastAsia="Times New Roman"/>
        </w:rPr>
      </w:pPr>
      <w:r w:rsidRPr="00177A54">
        <w:rPr>
          <w:rFonts w:eastAsia="Times New Roman"/>
        </w:rPr>
        <w:t xml:space="preserve">As of April 5, </w:t>
      </w:r>
      <w:proofErr w:type="gramStart"/>
      <w:r w:rsidRPr="00177A54">
        <w:rPr>
          <w:rFonts w:eastAsia="Times New Roman"/>
        </w:rPr>
        <w:t>2022</w:t>
      </w:r>
      <w:proofErr w:type="gramEnd"/>
      <w:r w:rsidRPr="00177A54">
        <w:rPr>
          <w:rFonts w:eastAsia="Times New Roman"/>
        </w:rPr>
        <w:t xml:space="preserve"> NPD has 75</w:t>
      </w:r>
      <w:r w:rsidR="00177A54">
        <w:rPr>
          <w:rFonts w:eastAsia="Times New Roman"/>
        </w:rPr>
        <w:t>5</w:t>
      </w:r>
      <w:r w:rsidRPr="00177A54">
        <w:rPr>
          <w:rFonts w:eastAsia="Times New Roman"/>
        </w:rPr>
        <w:t xml:space="preserve"> approved sworn officer positions</w:t>
      </w:r>
      <w:r w:rsidR="00177A54">
        <w:rPr>
          <w:rFonts w:eastAsia="Times New Roman"/>
        </w:rPr>
        <w:t>:</w:t>
      </w:r>
      <w:r w:rsidR="00177A54" w:rsidRPr="00177A54">
        <w:rPr>
          <w:rFonts w:eastAsia="Times New Roman"/>
        </w:rPr>
        <w:t xml:space="preserve"> 562 are filled and 19</w:t>
      </w:r>
      <w:r w:rsidR="00177A54">
        <w:rPr>
          <w:rFonts w:eastAsia="Times New Roman"/>
        </w:rPr>
        <w:t>3</w:t>
      </w:r>
      <w:r w:rsidR="00177A54" w:rsidRPr="00177A54">
        <w:rPr>
          <w:rFonts w:eastAsia="Times New Roman"/>
        </w:rPr>
        <w:t xml:space="preserve"> are vacant.  A vacancy rate of 25.5 percent</w:t>
      </w:r>
    </w:p>
    <w:p w14:paraId="439E1F50" w14:textId="18DFE3EF" w:rsidR="00177A54" w:rsidRPr="00F74D71" w:rsidRDefault="00177A54" w:rsidP="00F74D71">
      <w:pPr>
        <w:pStyle w:val="ListParagraph"/>
        <w:numPr>
          <w:ilvl w:val="0"/>
          <w:numId w:val="2"/>
        </w:numPr>
        <w:rPr>
          <w:rFonts w:eastAsia="Times New Roman"/>
        </w:rPr>
      </w:pPr>
      <w:r>
        <w:rPr>
          <w:rFonts w:eastAsia="Times New Roman"/>
        </w:rPr>
        <w:t>In March 2020 – immediately before the COVID-19 Pandemic hit – NPD had 775 approved sworn officer positions: 691 were filled and 84 were vacant.</w:t>
      </w:r>
      <w:r w:rsidR="00F74D71">
        <w:rPr>
          <w:rFonts w:eastAsia="Times New Roman"/>
        </w:rPr>
        <w:t xml:space="preserve">  A vacancy rate of 10.8 percent</w:t>
      </w:r>
      <w:r w:rsidRPr="00F74D71">
        <w:rPr>
          <w:rFonts w:eastAsia="Times New Roman"/>
        </w:rPr>
        <w:t xml:space="preserve">  </w:t>
      </w:r>
    </w:p>
    <w:p w14:paraId="2BCEBFE6" w14:textId="25E88CBA" w:rsidR="005F1BF0" w:rsidRDefault="00F74D71" w:rsidP="005F1BF0">
      <w:pPr>
        <w:pStyle w:val="ListParagraph"/>
        <w:numPr>
          <w:ilvl w:val="0"/>
          <w:numId w:val="2"/>
        </w:numPr>
        <w:rPr>
          <w:rFonts w:eastAsia="Times New Roman"/>
        </w:rPr>
      </w:pPr>
      <w:r>
        <w:rPr>
          <w:rFonts w:eastAsia="Times New Roman"/>
        </w:rPr>
        <w:t xml:space="preserve">In </w:t>
      </w:r>
      <w:r w:rsidR="005F1BF0">
        <w:rPr>
          <w:rFonts w:eastAsia="Times New Roman"/>
        </w:rPr>
        <w:t>April</w:t>
      </w:r>
      <w:r>
        <w:rPr>
          <w:rFonts w:eastAsia="Times New Roman"/>
        </w:rPr>
        <w:t xml:space="preserve"> 2017</w:t>
      </w:r>
      <w:r w:rsidR="005F1BF0">
        <w:rPr>
          <w:rFonts w:eastAsia="Times New Roman"/>
        </w:rPr>
        <w:t xml:space="preserve"> – Five years ago -</w:t>
      </w:r>
      <w:r>
        <w:rPr>
          <w:rFonts w:eastAsia="Times New Roman"/>
        </w:rPr>
        <w:t xml:space="preserve"> NPD had 775 approved sworn officer positions:</w:t>
      </w:r>
      <w:r w:rsidR="005F1BF0">
        <w:rPr>
          <w:rFonts w:eastAsia="Times New Roman"/>
        </w:rPr>
        <w:t xml:space="preserve"> 738 were filled and 37 were vacant.  A vacancy rate of 4.8 percent.</w:t>
      </w:r>
    </w:p>
    <w:p w14:paraId="47F49F40" w14:textId="3C2DADF1" w:rsidR="005F1BF0" w:rsidRDefault="005F1BF0" w:rsidP="005F1BF0">
      <w:pPr>
        <w:rPr>
          <w:rFonts w:eastAsia="Times New Roman"/>
        </w:rPr>
      </w:pPr>
    </w:p>
    <w:p w14:paraId="331F1785" w14:textId="4BD4FC5C" w:rsidR="006824E4" w:rsidRDefault="002F2D6B" w:rsidP="005F1BF0">
      <w:pPr>
        <w:rPr>
          <w:rFonts w:eastAsia="Times New Roman"/>
          <w:i/>
          <w:iCs/>
          <w:color w:val="FF0000"/>
          <w:sz w:val="24"/>
          <w:szCs w:val="24"/>
        </w:rPr>
      </w:pPr>
      <w:r w:rsidRPr="000E5F92">
        <w:rPr>
          <w:rFonts w:eastAsia="Times New Roman"/>
          <w:b/>
          <w:bCs/>
          <w:sz w:val="24"/>
          <w:szCs w:val="24"/>
        </w:rPr>
        <w:t>Recruiting and Police Academy Capacity</w:t>
      </w:r>
    </w:p>
    <w:p w14:paraId="5173CEEB" w14:textId="77777777" w:rsidR="00A855D8" w:rsidRDefault="00A855D8" w:rsidP="005F1BF0">
      <w:pPr>
        <w:rPr>
          <w:rFonts w:eastAsia="Times New Roman"/>
          <w:color w:val="FF0000"/>
          <w:sz w:val="24"/>
          <w:szCs w:val="24"/>
        </w:rPr>
      </w:pPr>
    </w:p>
    <w:p w14:paraId="6B7A3C4A" w14:textId="049141C6" w:rsidR="00402980" w:rsidRPr="00BF13BB" w:rsidRDefault="002F2D6B" w:rsidP="005F1BF0">
      <w:pPr>
        <w:rPr>
          <w:rFonts w:eastAsia="Times New Roman"/>
        </w:rPr>
      </w:pPr>
      <w:r w:rsidRPr="00BF13BB">
        <w:rPr>
          <w:rFonts w:eastAsia="Times New Roman"/>
        </w:rPr>
        <w:t>Aside from a few lateral transfers, all</w:t>
      </w:r>
      <w:r w:rsidR="00A855D8" w:rsidRPr="00BF13BB">
        <w:rPr>
          <w:rFonts w:eastAsia="Times New Roman"/>
        </w:rPr>
        <w:t xml:space="preserve"> NPD </w:t>
      </w:r>
      <w:r w:rsidRPr="00BF13BB">
        <w:rPr>
          <w:rFonts w:eastAsia="Times New Roman"/>
        </w:rPr>
        <w:t>officers start their career as</w:t>
      </w:r>
      <w:r w:rsidR="000306DF" w:rsidRPr="00BF13BB">
        <w:rPr>
          <w:rFonts w:eastAsia="Times New Roman"/>
        </w:rPr>
        <w:t xml:space="preserve"> </w:t>
      </w:r>
      <w:r w:rsidRPr="00BF13BB">
        <w:rPr>
          <w:rFonts w:eastAsia="Times New Roman"/>
        </w:rPr>
        <w:t>Police Recruit</w:t>
      </w:r>
      <w:r w:rsidR="000306DF" w:rsidRPr="00BF13BB">
        <w:rPr>
          <w:rFonts w:eastAsia="Times New Roman"/>
        </w:rPr>
        <w:t>s</w:t>
      </w:r>
      <w:r w:rsidRPr="00BF13BB">
        <w:rPr>
          <w:rFonts w:eastAsia="Times New Roman"/>
        </w:rPr>
        <w:t xml:space="preserve"> in the city’s Police Academy.  Currently </w:t>
      </w:r>
      <w:r w:rsidR="00C51FEF" w:rsidRPr="00BF13BB">
        <w:rPr>
          <w:rFonts w:eastAsia="Times New Roman"/>
        </w:rPr>
        <w:t xml:space="preserve">NPD has the capacity to </w:t>
      </w:r>
      <w:r w:rsidR="00A855D8" w:rsidRPr="00BF13BB">
        <w:rPr>
          <w:rFonts w:eastAsia="Times New Roman"/>
        </w:rPr>
        <w:t xml:space="preserve">run two academies each year. Each academy runs for 27 weeks. The maximum capacity for each academy is </w:t>
      </w:r>
      <w:r w:rsidR="000E5F92" w:rsidRPr="00BF13BB">
        <w:rPr>
          <w:rFonts w:eastAsia="Times New Roman"/>
        </w:rPr>
        <w:t xml:space="preserve">about </w:t>
      </w:r>
      <w:r w:rsidR="00A855D8" w:rsidRPr="00BF13BB">
        <w:rPr>
          <w:rFonts w:eastAsia="Times New Roman"/>
        </w:rPr>
        <w:t xml:space="preserve">30 recruits. This results in </w:t>
      </w:r>
      <w:r w:rsidR="00C51FEF" w:rsidRPr="00BF13BB">
        <w:rPr>
          <w:rFonts w:eastAsia="Times New Roman"/>
        </w:rPr>
        <w:t xml:space="preserve">a max of </w:t>
      </w:r>
      <w:r w:rsidR="00A855D8" w:rsidRPr="00BF13BB">
        <w:rPr>
          <w:rFonts w:eastAsia="Times New Roman"/>
        </w:rPr>
        <w:t xml:space="preserve">60 </w:t>
      </w:r>
      <w:r w:rsidR="00C51FEF" w:rsidRPr="00BF13BB">
        <w:rPr>
          <w:rFonts w:eastAsia="Times New Roman"/>
        </w:rPr>
        <w:t>recruit</w:t>
      </w:r>
      <w:r w:rsidR="00A855D8" w:rsidRPr="00BF13BB">
        <w:rPr>
          <w:rFonts w:eastAsia="Times New Roman"/>
        </w:rPr>
        <w:t xml:space="preserve"> hires each year.</w:t>
      </w:r>
      <w:r w:rsidR="00C51FEF" w:rsidRPr="00BF13BB">
        <w:rPr>
          <w:rFonts w:eastAsia="Times New Roman"/>
        </w:rPr>
        <w:t xml:space="preserve">  At this rate of recruitment, it would take NPD over three years to fill all current vacancies if </w:t>
      </w:r>
      <w:r w:rsidR="000306DF" w:rsidRPr="00BF13BB">
        <w:rPr>
          <w:rFonts w:eastAsia="Times New Roman"/>
        </w:rPr>
        <w:t xml:space="preserve">- </w:t>
      </w:r>
      <w:r w:rsidR="00C51FEF" w:rsidRPr="00BF13BB">
        <w:rPr>
          <w:rFonts w:eastAsia="Times New Roman"/>
        </w:rPr>
        <w:t xml:space="preserve">during that time </w:t>
      </w:r>
      <w:r w:rsidR="000306DF" w:rsidRPr="00BF13BB">
        <w:rPr>
          <w:rFonts w:eastAsia="Times New Roman"/>
        </w:rPr>
        <w:t xml:space="preserve">- </w:t>
      </w:r>
      <w:r w:rsidR="00C51FEF" w:rsidRPr="00BF13BB">
        <w:rPr>
          <w:rFonts w:eastAsia="Times New Roman"/>
        </w:rPr>
        <w:t>no police officers retired or left the department and no recruits washed out of the academy</w:t>
      </w:r>
      <w:r w:rsidR="00E33265" w:rsidRPr="00BF13BB">
        <w:rPr>
          <w:rFonts w:eastAsia="Times New Roman"/>
        </w:rPr>
        <w:t xml:space="preserve"> - these are unrealistic assumptions.  </w:t>
      </w:r>
    </w:p>
    <w:p w14:paraId="6A4362F6" w14:textId="77777777" w:rsidR="00402980" w:rsidRPr="00BF13BB" w:rsidRDefault="00402980" w:rsidP="005F1BF0">
      <w:pPr>
        <w:rPr>
          <w:rFonts w:eastAsia="Times New Roman"/>
        </w:rPr>
      </w:pPr>
    </w:p>
    <w:p w14:paraId="202078C7" w14:textId="60067165" w:rsidR="00E33265" w:rsidRPr="00BF13BB" w:rsidRDefault="00E33265" w:rsidP="005F1BF0">
      <w:pPr>
        <w:rPr>
          <w:rFonts w:eastAsia="Times New Roman"/>
        </w:rPr>
      </w:pPr>
      <w:r w:rsidRPr="00BF13BB">
        <w:rPr>
          <w:rFonts w:eastAsia="Times New Roman"/>
        </w:rPr>
        <w:t>Historically NPD has seen about 2.5 officers a month leave the department – about 30 a year.  Academy graduation rates have averaged around 7</w:t>
      </w:r>
      <w:r w:rsidR="00402980" w:rsidRPr="00BF13BB">
        <w:rPr>
          <w:rFonts w:eastAsia="Times New Roman"/>
        </w:rPr>
        <w:t>5</w:t>
      </w:r>
      <w:r w:rsidRPr="00BF13BB">
        <w:rPr>
          <w:rFonts w:eastAsia="Times New Roman"/>
        </w:rPr>
        <w:t xml:space="preserve"> percent.  If we were to return to these</w:t>
      </w:r>
      <w:r w:rsidRPr="000E5F92">
        <w:rPr>
          <w:rFonts w:eastAsia="Times New Roman"/>
          <w:sz w:val="24"/>
          <w:szCs w:val="24"/>
        </w:rPr>
        <w:t xml:space="preserve"> </w:t>
      </w:r>
      <w:r w:rsidRPr="00BF13BB">
        <w:rPr>
          <w:rFonts w:eastAsia="Times New Roman"/>
        </w:rPr>
        <w:t>averages and assume two full academies per year</w:t>
      </w:r>
      <w:r w:rsidR="00402980" w:rsidRPr="00BF13BB">
        <w:rPr>
          <w:rFonts w:eastAsia="Times New Roman"/>
        </w:rPr>
        <w:t xml:space="preserve"> (60 recruits) we would net only 15 additional officers per year.  At this rate, it would take about 13 years to return to full staffing levels.  This speaks to</w:t>
      </w:r>
      <w:r w:rsidR="00402980" w:rsidRPr="000E5F92">
        <w:rPr>
          <w:rFonts w:eastAsia="Times New Roman"/>
          <w:sz w:val="24"/>
          <w:szCs w:val="24"/>
        </w:rPr>
        <w:t xml:space="preserve"> </w:t>
      </w:r>
      <w:r w:rsidR="00402980" w:rsidRPr="00BF13BB">
        <w:rPr>
          <w:rFonts w:eastAsia="Times New Roman"/>
        </w:rPr>
        <w:t xml:space="preserve">the need to increase </w:t>
      </w:r>
      <w:r w:rsidR="00402980" w:rsidRPr="00BF13BB">
        <w:rPr>
          <w:rFonts w:eastAsia="Times New Roman"/>
        </w:rPr>
        <w:lastRenderedPageBreak/>
        <w:t>academy capacity</w:t>
      </w:r>
      <w:r w:rsidR="00D35BE7" w:rsidRPr="00BF13BB">
        <w:rPr>
          <w:rFonts w:eastAsia="Times New Roman"/>
        </w:rPr>
        <w:t xml:space="preserve">, increase the yield </w:t>
      </w:r>
      <w:r w:rsidR="00937F1D" w:rsidRPr="00BF13BB">
        <w:rPr>
          <w:rFonts w:eastAsia="Times New Roman"/>
        </w:rPr>
        <w:t xml:space="preserve">of </w:t>
      </w:r>
      <w:r w:rsidR="0055397A" w:rsidRPr="00BF13BB">
        <w:rPr>
          <w:rFonts w:eastAsia="Times New Roman"/>
        </w:rPr>
        <w:t xml:space="preserve">candidates that start the academy, </w:t>
      </w:r>
      <w:r w:rsidR="00402980" w:rsidRPr="00BF13BB">
        <w:rPr>
          <w:rFonts w:eastAsia="Times New Roman"/>
        </w:rPr>
        <w:t xml:space="preserve">develop a robust lateral transfer </w:t>
      </w:r>
      <w:proofErr w:type="gramStart"/>
      <w:r w:rsidR="00402980" w:rsidRPr="00BF13BB">
        <w:rPr>
          <w:rFonts w:eastAsia="Times New Roman"/>
        </w:rPr>
        <w:t>program</w:t>
      </w:r>
      <w:proofErr w:type="gramEnd"/>
      <w:r w:rsidR="0055397A" w:rsidRPr="00BF13BB">
        <w:rPr>
          <w:rFonts w:eastAsia="Times New Roman"/>
        </w:rPr>
        <w:t xml:space="preserve"> and </w:t>
      </w:r>
      <w:r w:rsidR="00190441" w:rsidRPr="00BF13BB">
        <w:rPr>
          <w:rFonts w:eastAsia="Times New Roman"/>
        </w:rPr>
        <w:t>do our best to retain some of our senior officers.</w:t>
      </w:r>
    </w:p>
    <w:p w14:paraId="3A159B71" w14:textId="77777777" w:rsidR="000306DF" w:rsidRDefault="000306DF" w:rsidP="005F1BF0">
      <w:pPr>
        <w:rPr>
          <w:rFonts w:eastAsia="Times New Roman"/>
          <w:b/>
          <w:bCs/>
          <w:sz w:val="24"/>
          <w:szCs w:val="24"/>
        </w:rPr>
      </w:pPr>
    </w:p>
    <w:p w14:paraId="1368CEB5" w14:textId="28C57491" w:rsidR="006824E4" w:rsidRPr="006824E4" w:rsidRDefault="006824E4" w:rsidP="005F1BF0">
      <w:pPr>
        <w:rPr>
          <w:rFonts w:eastAsia="Times New Roman"/>
          <w:b/>
          <w:bCs/>
          <w:sz w:val="24"/>
          <w:szCs w:val="24"/>
        </w:rPr>
      </w:pPr>
      <w:r w:rsidRPr="006824E4">
        <w:rPr>
          <w:rFonts w:eastAsia="Times New Roman"/>
          <w:b/>
          <w:bCs/>
          <w:sz w:val="24"/>
          <w:szCs w:val="24"/>
        </w:rPr>
        <w:t>Regional Police Officer Pay Comparison</w:t>
      </w:r>
    </w:p>
    <w:p w14:paraId="091C588F" w14:textId="77777777" w:rsidR="006824E4" w:rsidRDefault="006824E4" w:rsidP="005F1BF0">
      <w:pPr>
        <w:rPr>
          <w:rFonts w:eastAsia="Times New Roman"/>
        </w:rPr>
      </w:pPr>
    </w:p>
    <w:p w14:paraId="7410A367" w14:textId="7BDD6362" w:rsidR="001243F5" w:rsidRDefault="00153261" w:rsidP="005F1BF0">
      <w:pPr>
        <w:rPr>
          <w:rFonts w:eastAsia="Times New Roman"/>
        </w:rPr>
      </w:pPr>
      <w:r>
        <w:rPr>
          <w:rFonts w:eastAsia="Times New Roman"/>
        </w:rPr>
        <w:t xml:space="preserve">A </w:t>
      </w:r>
      <w:r w:rsidR="001243F5">
        <w:rPr>
          <w:rFonts w:eastAsia="Times New Roman"/>
        </w:rPr>
        <w:t>comparison of the pay ranges for sworn police officers across neighboring cities is provided below.  Across most of the ranks Norfolk has the highest starting pay.  A comparison of actual average salaries is not possible as most cities do not publish staff salaries in their open data portal.</w:t>
      </w:r>
    </w:p>
    <w:p w14:paraId="7EB96EA2" w14:textId="2AD63A48" w:rsidR="001243F5" w:rsidRDefault="001243F5" w:rsidP="005F1BF0">
      <w:pPr>
        <w:rPr>
          <w:rFonts w:eastAsia="Times New Roman"/>
        </w:rPr>
      </w:pPr>
    </w:p>
    <w:p w14:paraId="7786B8B1" w14:textId="4D3332D3" w:rsidR="001243F5" w:rsidRDefault="001243F5" w:rsidP="005F1BF0">
      <w:pPr>
        <w:rPr>
          <w:rFonts w:eastAsia="Times New Roman"/>
        </w:rPr>
      </w:pPr>
      <w:r>
        <w:rPr>
          <w:noProof/>
        </w:rPr>
        <w:drawing>
          <wp:inline distT="0" distB="0" distL="0" distR="0" wp14:anchorId="4031B526" wp14:editId="47F1619E">
            <wp:extent cx="5943600" cy="53435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943600" cy="5343525"/>
                    </a:xfrm>
                    <a:prstGeom prst="rect">
                      <a:avLst/>
                    </a:prstGeom>
                  </pic:spPr>
                </pic:pic>
              </a:graphicData>
            </a:graphic>
          </wp:inline>
        </w:drawing>
      </w:r>
    </w:p>
    <w:p w14:paraId="20D68D98" w14:textId="61D8745B" w:rsidR="00177A54" w:rsidRPr="005F1BF0" w:rsidRDefault="00F74D71" w:rsidP="005F1BF0">
      <w:pPr>
        <w:rPr>
          <w:rFonts w:eastAsia="Times New Roman"/>
        </w:rPr>
      </w:pPr>
      <w:r w:rsidRPr="005F1BF0">
        <w:rPr>
          <w:rFonts w:eastAsia="Times New Roman"/>
        </w:rPr>
        <w:t xml:space="preserve"> </w:t>
      </w:r>
    </w:p>
    <w:p w14:paraId="3AE2158B" w14:textId="771E5BCE" w:rsidR="0070794F" w:rsidRPr="000306DF" w:rsidRDefault="000306DF" w:rsidP="00840F5D">
      <w:pPr>
        <w:rPr>
          <w:rFonts w:eastAsia="Times New Roman"/>
          <w:b/>
          <w:bCs/>
          <w:sz w:val="24"/>
          <w:szCs w:val="24"/>
        </w:rPr>
      </w:pPr>
      <w:r w:rsidRPr="000306DF">
        <w:rPr>
          <w:rFonts w:eastAsia="Times New Roman"/>
          <w:b/>
          <w:bCs/>
          <w:sz w:val="24"/>
          <w:szCs w:val="24"/>
        </w:rPr>
        <w:t>Compression and Missed Steps</w:t>
      </w:r>
    </w:p>
    <w:p w14:paraId="0CA4A815" w14:textId="3DC6E19A" w:rsidR="0070794F" w:rsidRPr="000306DF" w:rsidRDefault="0070794F" w:rsidP="00840F5D"/>
    <w:p w14:paraId="3E96716D" w14:textId="083008EC" w:rsidR="001C41F1" w:rsidRPr="000306DF" w:rsidRDefault="00EE4316">
      <w:r w:rsidRPr="000306DF">
        <w:t xml:space="preserve">In a step system compression occurs when the salary of a recently hired position is comparable to a position with greater tenure (continuous years of service). This type of compression occurs during years where no step increase is given. </w:t>
      </w:r>
      <w:r w:rsidR="00A70260" w:rsidRPr="000306DF">
        <w:t>Prior to the Great Recession</w:t>
      </w:r>
      <w:r w:rsidR="000306DF">
        <w:t xml:space="preserve"> – with few exceptions -steps were awarded annually</w:t>
      </w:r>
      <w:r w:rsidR="00A70260" w:rsidRPr="000306DF">
        <w:t xml:space="preserve">. Police Officers </w:t>
      </w:r>
      <w:r w:rsidR="004D09C0" w:rsidRPr="000306DF">
        <w:t xml:space="preserve">who completed the academy assumed if they stayed for X number of years in </w:t>
      </w:r>
      <w:r w:rsidR="004D09C0" w:rsidRPr="000306DF">
        <w:lastRenderedPageBreak/>
        <w:t xml:space="preserve">that rank (equal to the number of steps in that rank), they, and the cadets they graduated with, would be at max pay. Fiscal constraint and </w:t>
      </w:r>
      <w:r w:rsidR="001C41F1" w:rsidRPr="000306DF">
        <w:t xml:space="preserve">striking </w:t>
      </w:r>
      <w:r w:rsidR="004D09C0" w:rsidRPr="000306DF">
        <w:t xml:space="preserve">the balance between competitive pay (GWI and range increases) and </w:t>
      </w:r>
      <w:r w:rsidR="001C41F1" w:rsidRPr="000306DF">
        <w:t>tenure-based pay</w:t>
      </w:r>
      <w:r w:rsidR="004D09C0" w:rsidRPr="000306DF">
        <w:t xml:space="preserve"> resulted in some fiscal years where a step was not awarded. </w:t>
      </w:r>
    </w:p>
    <w:p w14:paraId="4EA4E1B4" w14:textId="77777777" w:rsidR="001C41F1" w:rsidRPr="000306DF" w:rsidRDefault="001C41F1"/>
    <w:p w14:paraId="303DE5D4" w14:textId="2C8A3F23" w:rsidR="0042710B" w:rsidRPr="000306DF" w:rsidRDefault="0042710B">
      <w:r w:rsidRPr="000306DF">
        <w:t xml:space="preserve">For example, a step increase was not provided during FY 2010 – FY 2012. During that time NPD continued to run recruit academies with automatic promotion to Police Officer upon completion. A recently sworn Police Officer that graduated the academy in July 2009, would have been making the same salary (step 1) as a recent graduate in July 2012, despite a three-year tenure difference. The cost to address both compression (missed steps) and competitive pay escalates quickly, especially over a decade from when the </w:t>
      </w:r>
      <w:r w:rsidR="00D667DA" w:rsidRPr="000306DF">
        <w:t xml:space="preserve">action (or in-action) occurred. </w:t>
      </w:r>
    </w:p>
    <w:p w14:paraId="3FB45800" w14:textId="04A0CF12" w:rsidR="00D667DA" w:rsidRPr="000306DF" w:rsidRDefault="00D667DA"/>
    <w:p w14:paraId="28349B90" w14:textId="6B80CC6B" w:rsidR="00D667DA" w:rsidRPr="000306DF" w:rsidRDefault="00D667DA">
      <w:r w:rsidRPr="000306DF">
        <w:t xml:space="preserve">As noted previously, with finite resources, the city has continually balanced competitive and </w:t>
      </w:r>
      <w:r w:rsidR="00EF48B7" w:rsidRPr="000306DF">
        <w:t xml:space="preserve">tenure-based </w:t>
      </w:r>
      <w:r w:rsidRPr="000306DF">
        <w:t>pay for sworn public safety. While compression does still exist within the ranks, Officers today are better off in terms of salary earned than they would have been when they began their career. The table below illustrates</w:t>
      </w:r>
      <w:r w:rsidR="00EF48B7" w:rsidRPr="000306DF">
        <w:t xml:space="preserve"> this</w:t>
      </w:r>
      <w:r w:rsidRPr="000306DF">
        <w:t xml:space="preserve"> for Police Officer</w:t>
      </w:r>
      <w:r w:rsidR="001C41F1" w:rsidRPr="000306DF">
        <w:t>s at various years of service</w:t>
      </w:r>
      <w:r w:rsidR="00EF48B7" w:rsidRPr="000306DF">
        <w:t>.</w:t>
      </w:r>
      <w:r w:rsidRPr="000306DF">
        <w:t xml:space="preserve"> </w:t>
      </w:r>
      <w:r w:rsidR="00EF48B7" w:rsidRPr="000306DF">
        <w:t xml:space="preserve">The table compares </w:t>
      </w:r>
      <w:r w:rsidRPr="000306DF">
        <w:t xml:space="preserve">what their pay </w:t>
      </w:r>
      <w:r w:rsidR="00EF48B7" w:rsidRPr="000306DF">
        <w:t xml:space="preserve">would have been </w:t>
      </w:r>
      <w:r w:rsidRPr="000306DF">
        <w:t xml:space="preserve">under the pay plan in place when they started had steps been given for each year of service, and what they are currently earning in the public safety pay plan. </w:t>
      </w:r>
    </w:p>
    <w:p w14:paraId="7540E946" w14:textId="56421AD7" w:rsidR="00EE21D4" w:rsidRPr="000306DF" w:rsidRDefault="00EE21D4"/>
    <w:tbl>
      <w:tblPr>
        <w:tblStyle w:val="TableGrid"/>
        <w:tblW w:w="0" w:type="auto"/>
        <w:tblLook w:val="04A0" w:firstRow="1" w:lastRow="0" w:firstColumn="1" w:lastColumn="0" w:noHBand="0" w:noVBand="1"/>
      </w:tblPr>
      <w:tblGrid>
        <w:gridCol w:w="1909"/>
        <w:gridCol w:w="1340"/>
        <w:gridCol w:w="1627"/>
        <w:gridCol w:w="1531"/>
        <w:gridCol w:w="1340"/>
      </w:tblGrid>
      <w:tr w:rsidR="000306DF" w:rsidRPr="000306DF" w14:paraId="2E518516" w14:textId="4B74BE6D" w:rsidTr="004A3299">
        <w:trPr>
          <w:trHeight w:val="584"/>
        </w:trPr>
        <w:tc>
          <w:tcPr>
            <w:tcW w:w="1909" w:type="dxa"/>
            <w:shd w:val="clear" w:color="auto" w:fill="FBE4D5" w:themeFill="accent2" w:themeFillTint="33"/>
          </w:tcPr>
          <w:p w14:paraId="7327FCFC" w14:textId="0E2D8742" w:rsidR="00EE21D4" w:rsidRPr="000306DF" w:rsidRDefault="00EE21D4">
            <w:pPr>
              <w:rPr>
                <w:b/>
                <w:bCs/>
                <w:sz w:val="20"/>
                <w:szCs w:val="20"/>
              </w:rPr>
            </w:pPr>
            <w:r w:rsidRPr="000306DF">
              <w:rPr>
                <w:b/>
                <w:bCs/>
                <w:sz w:val="20"/>
                <w:szCs w:val="20"/>
              </w:rPr>
              <w:t xml:space="preserve">Police Officer – </w:t>
            </w:r>
            <w:r w:rsidR="00716F52" w:rsidRPr="000306DF">
              <w:rPr>
                <w:b/>
                <w:bCs/>
                <w:sz w:val="20"/>
                <w:szCs w:val="20"/>
              </w:rPr>
              <w:t xml:space="preserve">  Hire</w:t>
            </w:r>
            <w:r w:rsidRPr="000306DF">
              <w:rPr>
                <w:b/>
                <w:bCs/>
                <w:sz w:val="20"/>
                <w:szCs w:val="20"/>
              </w:rPr>
              <w:t xml:space="preserve"> Date</w:t>
            </w:r>
          </w:p>
        </w:tc>
        <w:tc>
          <w:tcPr>
            <w:tcW w:w="1340" w:type="dxa"/>
            <w:shd w:val="clear" w:color="auto" w:fill="FBE4D5" w:themeFill="accent2" w:themeFillTint="33"/>
          </w:tcPr>
          <w:p w14:paraId="602134B3" w14:textId="5DA51A0A" w:rsidR="00EE21D4" w:rsidRPr="000306DF" w:rsidRDefault="00EE21D4" w:rsidP="00281DBE">
            <w:pPr>
              <w:jc w:val="right"/>
              <w:rPr>
                <w:b/>
                <w:bCs/>
                <w:sz w:val="20"/>
                <w:szCs w:val="20"/>
              </w:rPr>
            </w:pPr>
            <w:r w:rsidRPr="000306DF">
              <w:rPr>
                <w:b/>
                <w:bCs/>
                <w:sz w:val="20"/>
                <w:szCs w:val="20"/>
              </w:rPr>
              <w:t>Years of Service</w:t>
            </w:r>
          </w:p>
        </w:tc>
        <w:tc>
          <w:tcPr>
            <w:tcW w:w="1627" w:type="dxa"/>
            <w:shd w:val="clear" w:color="auto" w:fill="FBE4D5" w:themeFill="accent2" w:themeFillTint="33"/>
          </w:tcPr>
          <w:p w14:paraId="74EF9941" w14:textId="40265B36" w:rsidR="00EE21D4" w:rsidRPr="000306DF" w:rsidRDefault="00EE21D4" w:rsidP="00281DBE">
            <w:pPr>
              <w:jc w:val="right"/>
              <w:rPr>
                <w:b/>
                <w:bCs/>
                <w:sz w:val="20"/>
                <w:szCs w:val="20"/>
              </w:rPr>
            </w:pPr>
            <w:r w:rsidRPr="000306DF">
              <w:rPr>
                <w:b/>
                <w:bCs/>
                <w:sz w:val="20"/>
                <w:szCs w:val="20"/>
              </w:rPr>
              <w:t>Salary expected in FY 2022</w:t>
            </w:r>
            <w:r w:rsidR="00716F52" w:rsidRPr="000306DF">
              <w:rPr>
                <w:b/>
                <w:bCs/>
                <w:sz w:val="20"/>
                <w:szCs w:val="20"/>
                <w:vertAlign w:val="superscript"/>
              </w:rPr>
              <w:t>1</w:t>
            </w:r>
          </w:p>
        </w:tc>
        <w:tc>
          <w:tcPr>
            <w:tcW w:w="1531" w:type="dxa"/>
            <w:shd w:val="clear" w:color="auto" w:fill="FBE4D5" w:themeFill="accent2" w:themeFillTint="33"/>
          </w:tcPr>
          <w:p w14:paraId="26D757D6" w14:textId="69C8BBDC" w:rsidR="00EE21D4" w:rsidRPr="000306DF" w:rsidRDefault="00EE21D4" w:rsidP="00281DBE">
            <w:pPr>
              <w:jc w:val="right"/>
              <w:rPr>
                <w:b/>
                <w:bCs/>
                <w:sz w:val="20"/>
                <w:szCs w:val="20"/>
              </w:rPr>
            </w:pPr>
            <w:r w:rsidRPr="000306DF">
              <w:rPr>
                <w:b/>
                <w:bCs/>
                <w:sz w:val="20"/>
                <w:szCs w:val="20"/>
              </w:rPr>
              <w:t xml:space="preserve">Current Salary </w:t>
            </w:r>
          </w:p>
        </w:tc>
        <w:tc>
          <w:tcPr>
            <w:tcW w:w="1340" w:type="dxa"/>
            <w:shd w:val="clear" w:color="auto" w:fill="FBE4D5" w:themeFill="accent2" w:themeFillTint="33"/>
          </w:tcPr>
          <w:p w14:paraId="58BA3237" w14:textId="2FF79789" w:rsidR="00EE21D4" w:rsidRPr="000306DF" w:rsidRDefault="00EE21D4" w:rsidP="00281DBE">
            <w:pPr>
              <w:jc w:val="right"/>
              <w:rPr>
                <w:b/>
                <w:bCs/>
                <w:sz w:val="20"/>
                <w:szCs w:val="20"/>
              </w:rPr>
            </w:pPr>
            <w:r w:rsidRPr="000306DF">
              <w:rPr>
                <w:b/>
                <w:bCs/>
                <w:sz w:val="20"/>
                <w:szCs w:val="20"/>
              </w:rPr>
              <w:t>Difference</w:t>
            </w:r>
          </w:p>
        </w:tc>
      </w:tr>
      <w:tr w:rsidR="000306DF" w:rsidRPr="000306DF" w14:paraId="43F3BED1" w14:textId="7A2540EB" w:rsidTr="00F67B58">
        <w:trPr>
          <w:trHeight w:val="315"/>
        </w:trPr>
        <w:tc>
          <w:tcPr>
            <w:tcW w:w="1909" w:type="dxa"/>
          </w:tcPr>
          <w:p w14:paraId="086B5664" w14:textId="110460F3" w:rsidR="00EE21D4" w:rsidRPr="000306DF" w:rsidRDefault="00F67B58" w:rsidP="00F67B58">
            <w:pPr>
              <w:jc w:val="right"/>
            </w:pPr>
            <w:r w:rsidRPr="000306DF">
              <w:t>July 2006</w:t>
            </w:r>
          </w:p>
        </w:tc>
        <w:tc>
          <w:tcPr>
            <w:tcW w:w="1340" w:type="dxa"/>
          </w:tcPr>
          <w:p w14:paraId="18DDF30D" w14:textId="7E5C5E3F" w:rsidR="00EE21D4" w:rsidRPr="000306DF" w:rsidRDefault="00F67B58" w:rsidP="00F67B58">
            <w:pPr>
              <w:jc w:val="right"/>
            </w:pPr>
            <w:r w:rsidRPr="000306DF">
              <w:t>15</w:t>
            </w:r>
          </w:p>
        </w:tc>
        <w:tc>
          <w:tcPr>
            <w:tcW w:w="1627" w:type="dxa"/>
          </w:tcPr>
          <w:p w14:paraId="15C20075" w14:textId="09AAD9BA" w:rsidR="00EE21D4" w:rsidRPr="000306DF" w:rsidRDefault="00F67B58" w:rsidP="00F67B58">
            <w:pPr>
              <w:jc w:val="right"/>
            </w:pPr>
            <w:r w:rsidRPr="000306DF">
              <w:t>$</w:t>
            </w:r>
            <w:r w:rsidR="00281DBE" w:rsidRPr="000306DF">
              <w:t>56,</w:t>
            </w:r>
            <w:r w:rsidR="00384115" w:rsidRPr="000306DF">
              <w:t>500</w:t>
            </w:r>
          </w:p>
        </w:tc>
        <w:tc>
          <w:tcPr>
            <w:tcW w:w="1531" w:type="dxa"/>
          </w:tcPr>
          <w:p w14:paraId="4E984DF6" w14:textId="444EAEA5" w:rsidR="00EE21D4" w:rsidRPr="000306DF" w:rsidRDefault="00281DBE" w:rsidP="00F67B58">
            <w:pPr>
              <w:jc w:val="right"/>
            </w:pPr>
            <w:r w:rsidRPr="000306DF">
              <w:t>$64,957</w:t>
            </w:r>
          </w:p>
        </w:tc>
        <w:tc>
          <w:tcPr>
            <w:tcW w:w="1340" w:type="dxa"/>
          </w:tcPr>
          <w:p w14:paraId="02386884" w14:textId="0A800099" w:rsidR="00EE21D4" w:rsidRPr="000306DF" w:rsidRDefault="00281DBE" w:rsidP="00F67B58">
            <w:pPr>
              <w:jc w:val="right"/>
            </w:pPr>
            <w:r w:rsidRPr="000306DF">
              <w:t>$8,</w:t>
            </w:r>
            <w:r w:rsidR="000D278C" w:rsidRPr="000306DF">
              <w:t>457</w:t>
            </w:r>
          </w:p>
        </w:tc>
      </w:tr>
      <w:tr w:rsidR="000306DF" w:rsidRPr="000306DF" w14:paraId="1A47F8D4" w14:textId="490E4E38" w:rsidTr="00F67B58">
        <w:trPr>
          <w:trHeight w:val="315"/>
        </w:trPr>
        <w:tc>
          <w:tcPr>
            <w:tcW w:w="1909" w:type="dxa"/>
          </w:tcPr>
          <w:p w14:paraId="78EC39B4" w14:textId="41E40617" w:rsidR="00EE21D4" w:rsidRPr="000306DF" w:rsidRDefault="00F67B58" w:rsidP="00F67B58">
            <w:pPr>
              <w:jc w:val="right"/>
            </w:pPr>
            <w:r w:rsidRPr="000306DF">
              <w:t>July 2011</w:t>
            </w:r>
          </w:p>
        </w:tc>
        <w:tc>
          <w:tcPr>
            <w:tcW w:w="1340" w:type="dxa"/>
          </w:tcPr>
          <w:p w14:paraId="196EB02B" w14:textId="5053A5D4" w:rsidR="00EE21D4" w:rsidRPr="000306DF" w:rsidRDefault="00F67B58" w:rsidP="00F67B58">
            <w:pPr>
              <w:jc w:val="right"/>
            </w:pPr>
            <w:r w:rsidRPr="000306DF">
              <w:t>10</w:t>
            </w:r>
          </w:p>
        </w:tc>
        <w:tc>
          <w:tcPr>
            <w:tcW w:w="1627" w:type="dxa"/>
          </w:tcPr>
          <w:p w14:paraId="46692C2D" w14:textId="1085C477" w:rsidR="00EE21D4" w:rsidRPr="000306DF" w:rsidRDefault="000D278C" w:rsidP="00F67B58">
            <w:pPr>
              <w:jc w:val="right"/>
            </w:pPr>
            <w:r w:rsidRPr="000306DF">
              <w:t>$53,063</w:t>
            </w:r>
          </w:p>
        </w:tc>
        <w:tc>
          <w:tcPr>
            <w:tcW w:w="1531" w:type="dxa"/>
          </w:tcPr>
          <w:p w14:paraId="4BD089EC" w14:textId="4C2E34A3" w:rsidR="00EE21D4" w:rsidRPr="000306DF" w:rsidRDefault="00384115" w:rsidP="00F67B58">
            <w:pPr>
              <w:jc w:val="right"/>
            </w:pPr>
            <w:r w:rsidRPr="000306DF">
              <w:t>$57,480</w:t>
            </w:r>
          </w:p>
        </w:tc>
        <w:tc>
          <w:tcPr>
            <w:tcW w:w="1340" w:type="dxa"/>
          </w:tcPr>
          <w:p w14:paraId="44DB9203" w14:textId="6A79BCB6" w:rsidR="00EE21D4" w:rsidRPr="000306DF" w:rsidRDefault="000D278C" w:rsidP="00F67B58">
            <w:pPr>
              <w:jc w:val="right"/>
            </w:pPr>
            <w:r w:rsidRPr="000306DF">
              <w:t>$4,417</w:t>
            </w:r>
          </w:p>
        </w:tc>
      </w:tr>
      <w:tr w:rsidR="000306DF" w:rsidRPr="000306DF" w14:paraId="6A6DABC6" w14:textId="367D5B80" w:rsidTr="00F67B58">
        <w:trPr>
          <w:trHeight w:val="315"/>
        </w:trPr>
        <w:tc>
          <w:tcPr>
            <w:tcW w:w="1909" w:type="dxa"/>
          </w:tcPr>
          <w:p w14:paraId="5621AB8A" w14:textId="14EC6A91" w:rsidR="00EE21D4" w:rsidRPr="000306DF" w:rsidRDefault="00F67B58" w:rsidP="00F67B58">
            <w:pPr>
              <w:jc w:val="right"/>
            </w:pPr>
            <w:r w:rsidRPr="000306DF">
              <w:t>July 2016</w:t>
            </w:r>
          </w:p>
        </w:tc>
        <w:tc>
          <w:tcPr>
            <w:tcW w:w="1340" w:type="dxa"/>
          </w:tcPr>
          <w:p w14:paraId="64BEB4C2" w14:textId="340D867D" w:rsidR="00EE21D4" w:rsidRPr="000306DF" w:rsidRDefault="00F67B58" w:rsidP="00F67B58">
            <w:pPr>
              <w:jc w:val="right"/>
            </w:pPr>
            <w:r w:rsidRPr="000306DF">
              <w:t>5</w:t>
            </w:r>
          </w:p>
        </w:tc>
        <w:tc>
          <w:tcPr>
            <w:tcW w:w="1627" w:type="dxa"/>
          </w:tcPr>
          <w:p w14:paraId="03295856" w14:textId="656E9A7C" w:rsidR="00EE21D4" w:rsidRPr="000306DF" w:rsidRDefault="003C2189" w:rsidP="00F67B58">
            <w:pPr>
              <w:jc w:val="right"/>
            </w:pPr>
            <w:r w:rsidRPr="000306DF">
              <w:t>$49,187</w:t>
            </w:r>
          </w:p>
        </w:tc>
        <w:tc>
          <w:tcPr>
            <w:tcW w:w="1531" w:type="dxa"/>
          </w:tcPr>
          <w:p w14:paraId="642E9742" w14:textId="310F38BA" w:rsidR="00EE21D4" w:rsidRPr="000306DF" w:rsidRDefault="00384115" w:rsidP="00F67B58">
            <w:pPr>
              <w:jc w:val="right"/>
            </w:pPr>
            <w:r w:rsidRPr="000306DF">
              <w:t>$52,106</w:t>
            </w:r>
          </w:p>
        </w:tc>
        <w:tc>
          <w:tcPr>
            <w:tcW w:w="1340" w:type="dxa"/>
          </w:tcPr>
          <w:p w14:paraId="022C123F" w14:textId="46C312E0" w:rsidR="00EE21D4" w:rsidRPr="000306DF" w:rsidRDefault="003C2189" w:rsidP="00F67B58">
            <w:pPr>
              <w:jc w:val="right"/>
            </w:pPr>
            <w:r w:rsidRPr="000306DF">
              <w:t>$</w:t>
            </w:r>
            <w:r w:rsidR="00384115" w:rsidRPr="000306DF">
              <w:t>2,919</w:t>
            </w:r>
          </w:p>
        </w:tc>
      </w:tr>
    </w:tbl>
    <w:p w14:paraId="6B524D91" w14:textId="15EDAB47" w:rsidR="00EE21D4" w:rsidRDefault="00716F52">
      <w:pPr>
        <w:rPr>
          <w:sz w:val="18"/>
          <w:szCs w:val="18"/>
        </w:rPr>
      </w:pPr>
      <w:r w:rsidRPr="000306DF">
        <w:rPr>
          <w:vertAlign w:val="superscript"/>
        </w:rPr>
        <w:t>1</w:t>
      </w:r>
      <w:r w:rsidRPr="000306DF">
        <w:t xml:space="preserve"> </w:t>
      </w:r>
      <w:r w:rsidRPr="000306DF">
        <w:rPr>
          <w:sz w:val="18"/>
          <w:szCs w:val="18"/>
        </w:rPr>
        <w:t>Based on the adopted compensation plan for the fiscal year hired. Assumes one step for each year of service.</w:t>
      </w:r>
    </w:p>
    <w:p w14:paraId="59D083FB" w14:textId="4333F2C3" w:rsidR="0081182C" w:rsidRDefault="0081182C"/>
    <w:p w14:paraId="3AF50153" w14:textId="6440A8DD" w:rsidR="00117333" w:rsidRDefault="00117333"/>
    <w:p w14:paraId="1F9B0CB7" w14:textId="0039669B" w:rsidR="00117333" w:rsidRDefault="00117333">
      <w:r w:rsidRPr="00117333">
        <w:rPr>
          <w:b/>
          <w:bCs/>
        </w:rPr>
        <w:t>Key Takeaways</w:t>
      </w:r>
    </w:p>
    <w:p w14:paraId="3521F09F" w14:textId="7218D2F6" w:rsidR="00117333" w:rsidRDefault="00117333"/>
    <w:p w14:paraId="6D951A21" w14:textId="68536DBA" w:rsidR="009C654B" w:rsidRDefault="009C654B" w:rsidP="00117333">
      <w:pPr>
        <w:pStyle w:val="ListParagraph"/>
        <w:numPr>
          <w:ilvl w:val="0"/>
          <w:numId w:val="6"/>
        </w:numPr>
      </w:pPr>
      <w:r>
        <w:t>As of April 5</w:t>
      </w:r>
      <w:r w:rsidRPr="009C654B">
        <w:rPr>
          <w:vertAlign w:val="superscript"/>
        </w:rPr>
        <w:t>th</w:t>
      </w:r>
      <w:r>
        <w:t>, NPD had 755 approved sworn officer positions with 562 filled and 193 vacant.  This puts the department at 24.4 officers per 10k residents.</w:t>
      </w:r>
      <w:r w:rsidR="00840346">
        <w:t xml:space="preserve">  For a city like Norfolk, we would want to be somewhere between 28 and 30 officers per 10k residents due to our urban footprint and the large number of calls for service in a year.  So, ideally, we would have 644 to 690 filled sworn positions on a consistent basis.</w:t>
      </w:r>
    </w:p>
    <w:p w14:paraId="63A5625E" w14:textId="709A5AD7" w:rsidR="0080307A" w:rsidRDefault="00937F1D" w:rsidP="00117333">
      <w:pPr>
        <w:pStyle w:val="ListParagraph"/>
        <w:numPr>
          <w:ilvl w:val="0"/>
          <w:numId w:val="6"/>
        </w:numPr>
      </w:pPr>
      <w:r>
        <w:t xml:space="preserve">Getting to </w:t>
      </w:r>
      <w:r w:rsidR="005641DD">
        <w:t>600+ officers will take a combination of strategies addressing both recruitment and retention.</w:t>
      </w:r>
    </w:p>
    <w:p w14:paraId="3D620F5E" w14:textId="1C045748" w:rsidR="00117333" w:rsidRDefault="00117333" w:rsidP="00117333">
      <w:pPr>
        <w:pStyle w:val="ListParagraph"/>
        <w:numPr>
          <w:ilvl w:val="0"/>
          <w:numId w:val="6"/>
        </w:numPr>
      </w:pPr>
      <w:r>
        <w:t>Norfolk’s Public Safety Pay Plan provides the region’s highest starting pay for every classification except recruit and corporal.</w:t>
      </w:r>
    </w:p>
    <w:p w14:paraId="25CB83D8" w14:textId="06B15283" w:rsidR="00117333" w:rsidRDefault="00117333" w:rsidP="00117333">
      <w:pPr>
        <w:pStyle w:val="ListParagraph"/>
        <w:numPr>
          <w:ilvl w:val="0"/>
          <w:numId w:val="6"/>
        </w:numPr>
      </w:pPr>
      <w:r>
        <w:t xml:space="preserve">NPD, NFR and Sherriff are all in the public safety pay plan.  This is beneficial as council does not have to worry about departments </w:t>
      </w:r>
      <w:r w:rsidR="00F21063">
        <w:t>separately.  This is also challenging</w:t>
      </w:r>
      <w:r w:rsidR="009C654B">
        <w:t xml:space="preserve"> since a</w:t>
      </w:r>
      <w:r w:rsidR="00F21063">
        <w:t xml:space="preserve">ny council decision to adjust pay to fix vacancies in one department must be implemented for all departments in the pay plan.  This increases the </w:t>
      </w:r>
      <w:r w:rsidR="009C654B">
        <w:t xml:space="preserve">total </w:t>
      </w:r>
      <w:r w:rsidR="00F21063">
        <w:t xml:space="preserve">cost of any </w:t>
      </w:r>
      <w:r w:rsidR="009C654B">
        <w:t>pay action.</w:t>
      </w:r>
    </w:p>
    <w:p w14:paraId="693F9095" w14:textId="12E1DD71" w:rsidR="00117333" w:rsidRPr="00117333" w:rsidRDefault="00A3741D" w:rsidP="004C50CA">
      <w:pPr>
        <w:pStyle w:val="ListParagraph"/>
        <w:numPr>
          <w:ilvl w:val="0"/>
          <w:numId w:val="6"/>
        </w:numPr>
      </w:pPr>
      <w:r>
        <w:t xml:space="preserve">One area of concern </w:t>
      </w:r>
      <w:r w:rsidR="00385960">
        <w:t xml:space="preserve">is officers </w:t>
      </w:r>
      <w:r w:rsidR="00AF1FCA">
        <w:t xml:space="preserve">in the 6-15 years of tenure.  Virginia Beach and Hampton both have a Master Police Officer </w:t>
      </w:r>
      <w:r w:rsidR="00122742">
        <w:t xml:space="preserve">(MPO) </w:t>
      </w:r>
      <w:r w:rsidR="00AF1FCA">
        <w:t>category</w:t>
      </w:r>
      <w:r w:rsidR="00303542">
        <w:t>.  This classification provides an opportunity for</w:t>
      </w:r>
      <w:r w:rsidR="00A34620">
        <w:t xml:space="preserve"> bumps in base pay for officers that don’t make rank.</w:t>
      </w:r>
      <w:r w:rsidR="00AA2FB5">
        <w:t xml:space="preserve">  Currently, we are very competitive with neighboring </w:t>
      </w:r>
      <w:r w:rsidR="0024798E">
        <w:t xml:space="preserve">jurisdictions when it comes to </w:t>
      </w:r>
      <w:r w:rsidR="006858A7">
        <w:t xml:space="preserve">pay for officers that </w:t>
      </w:r>
      <w:r w:rsidR="002C5364">
        <w:t xml:space="preserve">make rank, but I fear </w:t>
      </w:r>
      <w:r w:rsidR="00122742">
        <w:t xml:space="preserve">officers with 6+ years of tenure that can’t become an MPO here fall significantly </w:t>
      </w:r>
      <w:proofErr w:type="gramStart"/>
      <w:r w:rsidR="00122742">
        <w:t xml:space="preserve">behind </w:t>
      </w:r>
      <w:r w:rsidR="006858A7">
        <w:t>.</w:t>
      </w:r>
      <w:proofErr w:type="gramEnd"/>
      <w:r w:rsidR="004C50CA">
        <w:t xml:space="preserve">  I have asked </w:t>
      </w:r>
      <w:r w:rsidR="004C50CA">
        <w:lastRenderedPageBreak/>
        <w:t xml:space="preserve">Interim Chief Goldsmith </w:t>
      </w:r>
      <w:r w:rsidR="00F31907">
        <w:t xml:space="preserve">and city staff to </w:t>
      </w:r>
      <w:r w:rsidR="005D00F6">
        <w:t>develop a plan to create a Master Police Officer classification in our pay plan.</w:t>
      </w:r>
    </w:p>
    <w:sectPr w:rsidR="00117333" w:rsidRPr="0011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558F"/>
    <w:multiLevelType w:val="hybridMultilevel"/>
    <w:tmpl w:val="AA425050"/>
    <w:lvl w:ilvl="0" w:tplc="2E1690D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50A08"/>
    <w:multiLevelType w:val="hybridMultilevel"/>
    <w:tmpl w:val="F99C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7077B"/>
    <w:multiLevelType w:val="hybridMultilevel"/>
    <w:tmpl w:val="6E98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341EB"/>
    <w:multiLevelType w:val="hybridMultilevel"/>
    <w:tmpl w:val="13784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F33C32"/>
    <w:multiLevelType w:val="hybridMultilevel"/>
    <w:tmpl w:val="081C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4F"/>
    <w:rsid w:val="000306DF"/>
    <w:rsid w:val="000D278C"/>
    <w:rsid w:val="000E5F92"/>
    <w:rsid w:val="000E629D"/>
    <w:rsid w:val="00114DD5"/>
    <w:rsid w:val="00117333"/>
    <w:rsid w:val="00122742"/>
    <w:rsid w:val="001243F5"/>
    <w:rsid w:val="00125407"/>
    <w:rsid w:val="00153261"/>
    <w:rsid w:val="001628A1"/>
    <w:rsid w:val="00177A54"/>
    <w:rsid w:val="00190441"/>
    <w:rsid w:val="00191782"/>
    <w:rsid w:val="001C41F1"/>
    <w:rsid w:val="0024798E"/>
    <w:rsid w:val="00281DBE"/>
    <w:rsid w:val="002C5364"/>
    <w:rsid w:val="002D5F65"/>
    <w:rsid w:val="002F2D6B"/>
    <w:rsid w:val="00303542"/>
    <w:rsid w:val="0035411B"/>
    <w:rsid w:val="00384115"/>
    <w:rsid w:val="00385960"/>
    <w:rsid w:val="003C2189"/>
    <w:rsid w:val="00402980"/>
    <w:rsid w:val="0042710B"/>
    <w:rsid w:val="00431EE6"/>
    <w:rsid w:val="004A3299"/>
    <w:rsid w:val="004C50CA"/>
    <w:rsid w:val="004D09C0"/>
    <w:rsid w:val="005249D1"/>
    <w:rsid w:val="0055397A"/>
    <w:rsid w:val="005641DD"/>
    <w:rsid w:val="005D00F6"/>
    <w:rsid w:val="005E5CCD"/>
    <w:rsid w:val="005F1BF0"/>
    <w:rsid w:val="00627A84"/>
    <w:rsid w:val="00643502"/>
    <w:rsid w:val="006824E4"/>
    <w:rsid w:val="006858A7"/>
    <w:rsid w:val="006B561A"/>
    <w:rsid w:val="006D537D"/>
    <w:rsid w:val="0070794F"/>
    <w:rsid w:val="00716F52"/>
    <w:rsid w:val="00766664"/>
    <w:rsid w:val="0080307A"/>
    <w:rsid w:val="0081182C"/>
    <w:rsid w:val="00840346"/>
    <w:rsid w:val="00840F5D"/>
    <w:rsid w:val="00844F23"/>
    <w:rsid w:val="00890DC7"/>
    <w:rsid w:val="00897B70"/>
    <w:rsid w:val="008A16D2"/>
    <w:rsid w:val="008B2E09"/>
    <w:rsid w:val="008E5A89"/>
    <w:rsid w:val="00910680"/>
    <w:rsid w:val="009256DC"/>
    <w:rsid w:val="00937F1D"/>
    <w:rsid w:val="009A38F2"/>
    <w:rsid w:val="009C654B"/>
    <w:rsid w:val="00A34620"/>
    <w:rsid w:val="00A3741D"/>
    <w:rsid w:val="00A70260"/>
    <w:rsid w:val="00A855D8"/>
    <w:rsid w:val="00AA2FB5"/>
    <w:rsid w:val="00AF1FCA"/>
    <w:rsid w:val="00AF3728"/>
    <w:rsid w:val="00BF01C8"/>
    <w:rsid w:val="00BF13BB"/>
    <w:rsid w:val="00C51FEF"/>
    <w:rsid w:val="00D35BE7"/>
    <w:rsid w:val="00D667DA"/>
    <w:rsid w:val="00E33265"/>
    <w:rsid w:val="00E33C15"/>
    <w:rsid w:val="00EE21D4"/>
    <w:rsid w:val="00EE4316"/>
    <w:rsid w:val="00EF48B7"/>
    <w:rsid w:val="00F21063"/>
    <w:rsid w:val="00F31907"/>
    <w:rsid w:val="00F520F0"/>
    <w:rsid w:val="00F66896"/>
    <w:rsid w:val="00F67B58"/>
    <w:rsid w:val="00F72904"/>
    <w:rsid w:val="00F7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E03F"/>
  <w15:chartTrackingRefBased/>
  <w15:docId w15:val="{4BF95365-6EB4-4EE2-A4A3-16FCFD4D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94F"/>
    <w:pPr>
      <w:ind w:left="720"/>
    </w:pPr>
  </w:style>
  <w:style w:type="table" w:styleId="TableGrid">
    <w:name w:val="Table Grid"/>
    <w:basedOn w:val="TableNormal"/>
    <w:uiPriority w:val="39"/>
    <w:rsid w:val="008A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502"/>
    <w:rPr>
      <w:sz w:val="16"/>
      <w:szCs w:val="16"/>
    </w:rPr>
  </w:style>
  <w:style w:type="paragraph" w:styleId="CommentText">
    <w:name w:val="annotation text"/>
    <w:basedOn w:val="Normal"/>
    <w:link w:val="CommentTextChar"/>
    <w:uiPriority w:val="99"/>
    <w:unhideWhenUsed/>
    <w:rsid w:val="00643502"/>
    <w:rPr>
      <w:sz w:val="20"/>
      <w:szCs w:val="20"/>
    </w:rPr>
  </w:style>
  <w:style w:type="character" w:customStyle="1" w:styleId="CommentTextChar">
    <w:name w:val="Comment Text Char"/>
    <w:basedOn w:val="DefaultParagraphFont"/>
    <w:link w:val="CommentText"/>
    <w:uiPriority w:val="99"/>
    <w:rsid w:val="006435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3502"/>
    <w:rPr>
      <w:b/>
      <w:bCs/>
    </w:rPr>
  </w:style>
  <w:style w:type="character" w:customStyle="1" w:styleId="CommentSubjectChar">
    <w:name w:val="Comment Subject Char"/>
    <w:basedOn w:val="CommentTextChar"/>
    <w:link w:val="CommentSubject"/>
    <w:uiPriority w:val="99"/>
    <w:semiHidden/>
    <w:rsid w:val="0064350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Gregory</dc:creator>
  <cp:keywords/>
  <dc:description/>
  <cp:lastModifiedBy>Filer, Chip</cp:lastModifiedBy>
  <cp:revision>2</cp:revision>
  <dcterms:created xsi:type="dcterms:W3CDTF">2022-04-11T18:34:00Z</dcterms:created>
  <dcterms:modified xsi:type="dcterms:W3CDTF">2022-04-11T18:34:00Z</dcterms:modified>
</cp:coreProperties>
</file>